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Compliance</w:t>
      </w:r>
      <w:r>
        <w:t xml:space="preserve"> </w:t>
      </w:r>
      <w:r>
        <w:t xml:space="preserve">and</w:t>
      </w:r>
      <w:r>
        <w:t xml:space="preserve"> </w:t>
      </w:r>
      <w:r>
        <w:t xml:space="preserve">Strategic</w:t>
      </w:r>
      <w:r>
        <w:t xml:space="preserve"> </w:t>
      </w:r>
      <w:r>
        <w:t xml:space="preserve">Accounting</w:t>
      </w:r>
      <w:r>
        <w:t xml:space="preserve"> </w:t>
      </w:r>
      <w:r>
        <w:t xml:space="preserve">in</w:t>
      </w:r>
      <w:r>
        <w:t xml:space="preserve"> </w:t>
      </w:r>
      <w:r>
        <w:t xml:space="preserve">Turkey</w:t>
      </w:r>
      <w:r>
        <w:t xml:space="preserve"> </w:t>
      </w:r>
      <w:r>
        <w:t xml:space="preserve">Istanbul</w:t>
      </w:r>
    </w:p>
    <w:bookmarkStart w:id="32" w:name="Xde2f420d8afcb9cc51443b29c26b643c4736eb8"/>
    <w:p>
      <w:pPr>
        <w:pStyle w:val="Heading1"/>
      </w:pPr>
      <w:r>
        <w:t xml:space="preserve">Case Study: Navigating Complex Tax Regulations for a Multinational Enterprise in Turkey Istanbul</w:t>
      </w:r>
    </w:p>
    <w:p>
      <w:pPr>
        <w:pStyle w:val="FirstParagraph"/>
      </w:pPr>
      <w:r>
        <w:rPr>
          <w:bCs/>
          <w:b/>
        </w:rPr>
        <w:t xml:space="preserve">Date:</w:t>
      </w:r>
      <w:r>
        <w:t xml:space="preserve"> October 20, 2023</w:t>
      </w:r>
      <w:r>
        <w:br/>
      </w:r>
      <w:r>
        <w:rPr>
          <w:bCs/>
          <w:b/>
        </w:rPr>
        <w:t xml:space="preserve">Status:</w:t>
      </w:r>
      <w:r>
        <w:t xml:space="preserve"> Completed</w:t>
      </w:r>
      <w:r>
        <w:br/>
      </w:r>
    </w:p>
    <w:p>
      <w:pPr>
        <w:pStyle w:val="BodyText"/>
      </w:pPr>
      <w:r>
        <w:t xml:space="preserve">Sector: International Logistics &amp; Retail Distribution</w:t>
      </w:r>
    </w:p>
    <w:bookmarkStart w:id="20" w:name="executive-summary"/>
    <w:p>
      <w:pPr>
        <w:pStyle w:val="Heading2"/>
      </w:pPr>
      <w:r>
        <w:t xml:space="preserve">Executive Summary</w:t>
      </w:r>
    </w:p>
    <w:p>
      <w:pPr>
        <w:pStyle w:val="FirstParagraph"/>
      </w:pPr>
      <w:r>
        <w:t xml:space="preserve">This case study examines the critical role of specialized accounting services in supporting a mid-sized international logistics and retail distribution company, referred to here as "LogiTrade," operating within the dynamic economic landscape of</w:t>
      </w:r>
      <w:r>
        <w:t xml:space="preserve"> </w:t>
      </w:r>
      <w:r>
        <w:rPr>
          <w:bCs/>
          <w:b/>
        </w:rPr>
        <w:t xml:space="preserve">Turkey Istanbul</w:t>
      </w:r>
      <w:r>
        <w:t xml:space="preserve">. The primary challenge involved navigating the intricate web of Turkish tax laws, high inflation adjustments, and cross-border compliance requirements. By engaging a local firm with deep expertise in</w:t>
      </w:r>
      <w:r>
        <w:t xml:space="preserve"> </w:t>
      </w:r>
      <w:r>
        <w:rPr>
          <w:bCs/>
          <w:b/>
        </w:rPr>
        <w:t xml:space="preserve">Accountant</w:t>
      </w:r>
      <w:r>
        <w:t xml:space="preserve"> </w:t>
      </w:r>
      <w:r>
        <w:t xml:space="preserve">services tailored to</w:t>
      </w:r>
      <w:r>
        <w:t xml:space="preserve"> </w:t>
      </w:r>
      <w:r>
        <w:t xml:space="preserve">Turkey Istanbul's regulatory environment</w:t>
      </w:r>
      <w:r>
        <w:t xml:space="preserve">, LogiTrade was able to achieve full compliance, optimize tax liabilities, and secure sustainable financial health despite macroeconomic volatility.</w:t>
      </w:r>
    </w:p>
    <w:bookmarkEnd w:id="20"/>
    <w:bookmarkStart w:id="21" w:name="X6312b085e04c716ec00030689a6c6402d640915"/>
    <w:p>
      <w:pPr>
        <w:pStyle w:val="Heading2"/>
      </w:pPr>
      <w:r>
        <w:t xml:space="preserve">1. Client Background and Operational Context</w:t>
      </w:r>
    </w:p>
    <w:p>
      <w:pPr>
        <w:pStyle w:val="FirstParagraph"/>
      </w:pPr>
      <w:r>
        <w:rPr>
          <w:bCs/>
          <w:b/>
        </w:rPr>
        <w:t xml:space="preserve">Turkey Istanbul</w:t>
      </w:r>
      <w:r>
        <w:t xml:space="preserve"> stands as the economic heart of Turkey, serving as a unique bridge between European and Asian markets. For international businesses establishing a presence in this city, the opportunities are vast due to strategic geographic location, robust infrastructure, and a large consumer base. However,</w:t>
      </w:r>
      <w:r>
        <w:t xml:space="preserve">Turkey Istanbul </w:t>
      </w:r>
      <w:r>
        <w:t xml:space="preserve">also presents significant operational complexities. The local tax administration is rigorous, and the legal framework requires precise adherence to Turkish Commercial Code (TCC) regulations.</w:t>
      </w:r>
    </w:p>
    <w:p>
      <w:pPr>
        <w:pStyle w:val="BodyText"/>
      </w:pPr>
      <w:r>
        <w:rPr>
          <w:bCs/>
          <w:b/>
        </w:rPr>
        <w:t xml:space="preserve">LogiTrade</w:t>
      </w:r>
      <w:r>
        <w:t xml:space="preserve"> established its regional headquarters in</w:t>
      </w:r>
      <w:r>
        <w:t xml:space="preserve"> </w:t>
      </w:r>
      <w:r>
        <w:t xml:space="preserve">Turkey Istanbul</w:t>
      </w:r>
      <w:r>
        <w:t xml:space="preserve"> in 2019. The company imports automotive parts and retail goods from Germany and Japan, distributing them across the Balkans and the Middle East. Initially, LogiTrade attempted to manage its finances using a remote team based in Europe. However, as operations scaled up in</w:t>
      </w:r>
      <w:r>
        <w:t xml:space="preserve"> </w:t>
      </w:r>
      <w:r>
        <w:t xml:space="preserve">Turkey Istanbul</w:t>
      </w:r>
      <w:r>
        <w:t xml:space="preserve">, this approach proved insufficient due to:</w:t>
      </w:r>
    </w:p>
    <w:p>
      <w:pPr>
        <w:numPr>
          <w:ilvl w:val="0"/>
          <w:numId w:val="1001"/>
        </w:numPr>
        <w:pStyle w:val="Compact"/>
      </w:pPr>
      <w:r>
        <w:t xml:space="preserve">Lack of localized knowledge regarding Turkish Value Added Tax (KDV) nuances.</w:t>
      </w:r>
    </w:p>
    <w:p>
      <w:pPr>
        <w:numPr>
          <w:ilvl w:val="0"/>
          <w:numId w:val="1001"/>
        </w:numPr>
        <w:pStyle w:val="Compact"/>
      </w:pPr>
      <w:r>
        <w:t xml:space="preserve">Inability to handle real-time e-Invoice and e-Declaration mandates enforced by the Turkish Revenue Administration (GIB).</w:t>
      </w:r>
    </w:p>
    <w:p>
      <w:pPr>
        <w:numPr>
          <w:ilvl w:val="0"/>
          <w:numId w:val="1001"/>
        </w:numPr>
        <w:pStyle w:val="Compact"/>
      </w:pPr>
      <w:r>
        <w:t xml:space="preserve">Misinterpretation of inflation accounting standards required in high-inflation economies.</w:t>
      </w:r>
    </w:p>
    <w:bookmarkEnd w:id="21"/>
    <w:bookmarkStart w:id="25" w:name="X592a5af7d9b8faf17728a719dcf6bf625f81f47"/>
    <w:p>
      <w:pPr>
        <w:pStyle w:val="Heading2"/>
      </w:pPr>
      <w:r>
        <w:t xml:space="preserve">2. The Challenge: Regulatory Complexity in Turkey Istanbul</w:t>
      </w:r>
    </w:p>
    <w:p>
      <w:pPr>
        <w:pStyle w:val="FirstParagraph"/>
      </w:pPr>
      <w:r>
        <w:t xml:space="preserve">The core issue facing LogiTrade was not merely bookkeeping, but strategic financial management within the specific context of</w:t>
      </w:r>
      <w:r>
        <w:t xml:space="preserve"> </w:t>
      </w:r>
      <w:r>
        <w:t xml:space="preserve">Turkey Istanbul's</w:t>
      </w:r>
      <w:r>
        <w:t xml:space="preserve"> volatile economy. The challenges can be categorized into three main pillars:</w:t>
      </w:r>
    </w:p>
    <w:bookmarkStart w:id="22" w:name="tax-compliance-and-e-invoicing-mandates"/>
    <w:p>
      <w:pPr>
        <w:pStyle w:val="Heading3"/>
      </w:pPr>
      <w:r>
        <w:t xml:space="preserve">2.1 Tax Compliance and E-Invoicing Mandates</w:t>
      </w:r>
    </w:p>
    <w:p>
      <w:pPr>
        <w:pStyle w:val="FirstParagraph"/>
      </w:pPr>
      <w:r>
        <w:t xml:space="preserve">Turkey has aggressively digitized its tax system. All businesses with annual gross sales above a certain threshold must issue e-Invoices and e-Declarations. For an</w:t>
      </w:r>
      <w:r>
        <w:t xml:space="preserve"> </w:t>
      </w:r>
      <w:r>
        <w:rPr>
          <w:bCs/>
          <w:b/>
        </w:rPr>
        <w:t xml:space="preserve">Accountant</w:t>
      </w:r>
      <w:r>
        <w:t xml:space="preserve"> firm, this means integrating directly with the Government Information System (GİB) API. LogiTrade’s previous remote setup failed to comply with these real-time reporting requirements, leading to potential fines and blocked operations in</w:t>
      </w:r>
      <w:r>
        <w:t xml:space="preserve"> </w:t>
      </w:r>
      <w:r>
        <w:t xml:space="preserve">Turkey Istanbul</w:t>
      </w:r>
      <w:r>
        <w:t xml:space="preserve">.</w:t>
      </w:r>
    </w:p>
    <w:bookmarkEnd w:id="22"/>
    <w:bookmarkStart w:id="23" w:name="inflation-accounting-under-tfrs-31"/>
    <w:p>
      <w:pPr>
        <w:pStyle w:val="Heading3"/>
      </w:pPr>
      <w:r>
        <w:t xml:space="preserve">2.2 Inflation Accounting Under TFRS 31</w:t>
      </w:r>
    </w:p>
    <w:p>
      <w:pPr>
        <w:pStyle w:val="FirstParagraph"/>
      </w:pPr>
      <w:r>
        <w:t xml:space="preserve">Turkey has experienced high inflation rates in recent years. The Turkish Financial Reporting Standard (TFRS) 31 requires companies to adjust their financial statements for changes in the general price level. An</w:t>
      </w:r>
      <w:r>
        <w:t xml:space="preserve"> </w:t>
      </w:r>
      <w:r>
        <w:rPr>
          <w:bCs/>
          <w:b/>
        </w:rPr>
        <w:t xml:space="preserve">Accountant </w:t>
      </w:r>
      <w:r>
        <w:t xml:space="preserve"> expert in</w:t>
      </w:r>
      <w:r>
        <w:t xml:space="preserve"> </w:t>
      </w:r>
      <w:r>
        <w:t xml:space="preserve">Turkey Istanbul</w:t>
      </w:r>
      <w:r>
        <w:t xml:space="preserve"> must perform complex calculations to restate assets, liabilities, and equity. Failure to do so results in misleading financial statements that can deter foreign investors or banks.</w:t>
      </w:r>
    </w:p>
    <w:bookmarkEnd w:id="23"/>
    <w:bookmarkStart w:id="24" w:name="X51a79274743d1bde7154c85168cd2368ebb9520"/>
    <w:p>
      <w:pPr>
        <w:pStyle w:val="Heading3"/>
      </w:pPr>
      <w:r>
        <w:t xml:space="preserve">2.3 Withholding Tax and Social Security Premiums</w:t>
      </w:r>
    </w:p>
    <w:p>
      <w:pPr>
        <w:pStyle w:val="FirstParagraph"/>
      </w:pPr>
      <w:r>
        <w:t xml:space="preserve">Paying salaries to local staff in</w:t>
      </w:r>
      <w:r>
        <w:t xml:space="preserve"> </w:t>
      </w:r>
      <w:r>
        <w:t xml:space="preserve">Turkey Istanbul</w:t>
      </w:r>
      <w:r>
        <w:t xml:space="preserve"> involves complex withholding taxes and social security premiums (SGK). Additionally, payments made to foreign entities for services or royalties attract withholding tax. Misclassification of these payments is a common pitfall for foreign-owned entities.</w:t>
      </w:r>
    </w:p>
    <w:bookmarkEnd w:id="24"/>
    <w:bookmarkEnd w:id="25"/>
    <w:bookmarkStart w:id="29" w:name="X736fd575c8789f23e4d20ff2224eb1e0639256b"/>
    <w:p>
      <w:pPr>
        <w:pStyle w:val="Heading2"/>
      </w:pPr>
      <w:r>
        <w:t xml:space="preserve">3. The Solution: Implementing Localized Accounting Expertise</w:t>
      </w:r>
    </w:p>
    <w:p>
      <w:pPr>
        <w:pStyle w:val="FirstParagraph"/>
      </w:pPr>
      <w:r>
        <w:t xml:space="preserve">To address these challenges, LogiTrade partnered with a prestigious local</w:t>
      </w:r>
      <w:r>
        <w:t xml:space="preserve"> </w:t>
      </w:r>
      <w:r>
        <w:rPr>
          <w:bCs/>
          <w:b/>
        </w:rPr>
        <w:t xml:space="preserve">Accountant </w:t>
      </w:r>
      <w:r>
        <w:t xml:space="preserve"> firm based in</w:t>
      </w:r>
      <w:r>
        <w:t xml:space="preserve"> </w:t>
      </w:r>
      <w:r>
        <w:t xml:space="preserve">Turkey Istanbul</w:t>
      </w:r>
      <w:r>
        <w:t xml:space="preserve">. The solution was not just about hiring staff, but integrating a strategic financial partner who understood the nuances of doing business in</w:t>
      </w:r>
      <w:r>
        <w:t xml:space="preserve"> </w:t>
      </w:r>
      <w:r>
        <w:t xml:space="preserve">Turkey Istanbul</w:t>
      </w:r>
      <w:r>
        <w:t xml:space="preserve">.</w:t>
      </w:r>
    </w:p>
    <w:bookmarkStart w:id="26" w:name="Xfce7f10014b78652d5f2a080b5a471dd4beb66f"/>
    <w:p>
      <w:pPr>
        <w:pStyle w:val="Heading3"/>
      </w:pPr>
      <w:r>
        <w:t xml:space="preserve">3.1 Integration with Turkish Digital Infrastructure</w:t>
      </w:r>
    </w:p>
    <w:p>
      <w:pPr>
        <w:pStyle w:val="FirstParagraph"/>
      </w:pPr>
      <w:r>
        <w:t xml:space="preserve">The local</w:t>
      </w:r>
      <w:r>
        <w:t xml:space="preserve"> </w:t>
      </w:r>
      <w:r>
        <w:rPr>
          <w:bCs/>
          <w:b/>
        </w:rPr>
        <w:t xml:space="preserve">Accountant </w:t>
      </w:r>
      <w:r>
        <w:t xml:space="preserve"> team immediately integrated LogiTrade’s ERP system with the GİB (Turkish Revenue Administration) systems. They configured automated workflows for e-Invoice generation, ensuring that every transaction processed in</w:t>
      </w:r>
      <w:r>
        <w:t xml:space="preserve"> </w:t>
      </w:r>
      <w:r>
        <w:t xml:space="preserve">Turkey Istanbul</w:t>
      </w:r>
      <w:r>
        <w:t xml:space="preserve"> was reported within 24 hours as mandated by law. This eliminated manual errors and reduced compliance risk significantly.</w:t>
      </w:r>
    </w:p>
    <w:bookmarkEnd w:id="26"/>
    <w:bookmarkStart w:id="27" w:name="implementation-of-inflation-accounting"/>
    <w:p>
      <w:pPr>
        <w:pStyle w:val="Heading3"/>
      </w:pPr>
      <w:r>
        <w:t xml:space="preserve">3.2 Implementation of Inflation Accounting</w:t>
      </w:r>
    </w:p>
    <w:p>
      <w:pPr>
        <w:pStyle w:val="FirstParagraph"/>
      </w:pPr>
      <w:r>
        <w:t xml:space="preserve">The</w:t>
      </w:r>
      <w:r>
        <w:t xml:space="preserve"> </w:t>
      </w:r>
      <w:r>
        <w:rPr>
          <w:bCs/>
          <w:b/>
        </w:rPr>
        <w:t xml:space="preserve">Accountant </w:t>
      </w:r>
      <w:r>
        <w:t xml:space="preserve"> team conducted a comprehensive restatement of LogiTrade’s financials according to TFRS 31. They utilized specialized software to calculate inflation adjustments based on the Turkish Statistical Institute (TÜİK) data. This allowed LogiTrade to present accurate financial statements that reflected the true economic reality of operations in</w:t>
      </w:r>
      <w:r>
        <w:t xml:space="preserve"> </w:t>
      </w:r>
      <w:r>
        <w:t xml:space="preserve">Turkey Istanbul</w:t>
      </w:r>
      <w:r>
        <w:t xml:space="preserve">, thereby maintaining credibility with international banks and shareholders.</w:t>
      </w:r>
    </w:p>
    <w:bookmarkEnd w:id="27"/>
    <w:bookmarkStart w:id="28" w:name="X15897576c107adc27b112b2c83cd837fdcb6ff1"/>
    <w:p>
      <w:pPr>
        <w:pStyle w:val="Heading3"/>
      </w:pPr>
      <w:r>
        <w:t xml:space="preserve">3.3 Strategic Tax Planning and Transfer Pricing</w:t>
      </w:r>
    </w:p>
    <w:p>
      <w:pPr>
        <w:pStyle w:val="FirstParagraph"/>
      </w:pPr>
      <w:r>
        <w:t xml:space="preserve">The</w:t>
      </w:r>
      <w:r>
        <w:t xml:space="preserve"> </w:t>
      </w:r>
      <w:r>
        <w:rPr>
          <w:bCs/>
          <w:b/>
        </w:rPr>
        <w:t xml:space="preserve">Accountant </w:t>
      </w:r>
      <w:r>
        <w:t xml:space="preserve"> firm reviewed LogiTrade’s transfer pricing policies to ensure they aligned with Turkish regulations and OECD guidelines. They advised on optimal structures for withholding tax on cross-border payments, ensuring that LogiTrade benefited from applicable double taxation treaties while remaining compliant with</w:t>
      </w:r>
      <w:r>
        <w:t xml:space="preserve"> </w:t>
      </w:r>
      <w:r>
        <w:t xml:space="preserve">Turkey Istanbul's</w:t>
      </w:r>
      <w:r>
        <w:t xml:space="preserve"> local enforcement agencies.</w:t>
      </w:r>
    </w:p>
    <w:bookmarkEnd w:id="28"/>
    <w:bookmarkEnd w:id="29"/>
    <w:bookmarkStart w:id="30" w:name="results-and-impact"/>
    <w:p>
      <w:pPr>
        <w:pStyle w:val="Heading2"/>
      </w:pPr>
      <w:r>
        <w:t xml:space="preserve">4. Results and Impact</w:t>
      </w:r>
    </w:p>
    <w:p>
      <w:pPr>
        <w:pStyle w:val="FirstParagraph"/>
      </w:pPr>
      <w:r>
        <w:t xml:space="preserve">The engagement yielded measurable improvements in financial stability and operational efficiency for LogiTrade in</w:t>
      </w:r>
      <w:r>
        <w:t xml:space="preserve"> </w:t>
      </w:r>
      <w:r>
        <w:t xml:space="preserve">Turkey Istanbul</w:t>
      </w:r>
      <w:r>
        <w:t xml:space="preserve">.</w:t>
      </w:r>
    </w:p>
    <w:p>
      <w:pPr>
        <w:pStyle w:val="BodyText"/>
      </w:pPr>
      <w:r>
        <w:t xml:space="preserve">Metric</w:t>
      </w:r>
    </w:p>
    <w:p>
      <w:pPr>
        <w:pStyle w:val="BodyText"/>
      </w:pPr>
      <w:r>
        <w:t xml:space="preserve">Before Local Accountant Integration</w:t>
      </w:r>
    </w:p>
    <w:p>
      <w:pPr>
        <w:pStyle w:val="BodyText"/>
      </w:pPr>
      <w:r>
        <w:t xml:space="preserve">A 12 Months After Partnering with Turkey Istanbul Accountant Firm</w:t>
      </w:r>
      <w:r>
        <w:br/>
      </w:r>
      <w:r>
        <w:br/>
      </w:r>
      <w:r>
        <w:t xml:space="preserve">The results demonstrate that specialized local expertise is not just a compliance necessity but a strategic asset. For any business operating in</w:t>
      </w:r>
      <w:r>
        <w:t xml:space="preserve"> </w:t>
      </w:r>
      <w:r>
        <w:t xml:space="preserve">Turkey Istanbul</w:t>
      </w:r>
      <w:r>
        <w:t xml:space="preserve">, the role of a competent</w:t>
      </w:r>
      <w:r>
        <w:t xml:space="preserve"> </w:t>
      </w:r>
      <w:r>
        <w:rPr>
          <w:bCs/>
          <w:b/>
        </w:rPr>
        <w:t xml:space="preserve">Accountant </w:t>
      </w:r>
      <w:r>
        <w:t xml:space="preserve"> extends beyond number-crunching; it involves navigating political, economic, and regulatory currents that are unique to this vibrant city.</w:t>
      </w:r>
    </w:p>
    <w:p>
      <w:pPr>
        <w:pStyle w:val="BodyText"/>
      </w:pPr>
      <w:r>
        <w:t xml:space="preserve">The case of LogiTrade underscores the importance of adapting accounting practices to local standards. Whether it is handling the high-volume transactions typical of</w:t>
      </w:r>
      <w:r>
        <w:t xml:space="preserve"> </w:t>
      </w:r>
      <w:r>
        <w:t xml:space="preserve">Turkey Istanbul's</w:t>
      </w:r>
      <w:r>
        <w:t xml:space="preserve"> busy port districts or managing complex tax obligations, a local</w:t>
      </w:r>
      <w:r>
        <w:t xml:space="preserve"> </w:t>
      </w:r>
      <w:r>
        <w:rPr>
          <w:bCs/>
          <w:b/>
        </w:rPr>
        <w:t xml:space="preserve">Accountant </w:t>
      </w:r>
      <w:r>
        <w:t xml:space="preserve"> provides the essential bridge between international business goals and Turkish legal realities.</w:t>
      </w:r>
    </w:p>
    <w:bookmarkEnd w:id="30"/>
    <w:bookmarkStart w:id="31" w:name="conclusion"/>
    <w:p>
      <w:pPr>
        <w:pStyle w:val="Heading2"/>
      </w:pPr>
      <w:r>
        <w:t xml:space="preserve">6. Conclusion</w:t>
      </w:r>
    </w:p>
    <w:p>
      <w:pPr>
        <w:pStyle w:val="FirstParagraph"/>
      </w:pPr>
      <w:r>
        <w:t xml:space="preserve">In conclusion, this case study highlights that successful business operations in</w:t>
      </w:r>
      <w:r>
        <w:t xml:space="preserve"> </w:t>
      </w:r>
      <w:r>
        <w:t xml:space="preserve">Turkey Istanbul</w:t>
      </w:r>
      <w:r>
        <w:t xml:space="preserve"> require more than just capital investment; they demand sophisticated financial oversight. The integration of a specialized</w:t>
      </w:r>
      <w:r>
        <w:t xml:space="preserve"> </w:t>
      </w:r>
      <w:r>
        <w:rPr>
          <w:bCs/>
          <w:b/>
        </w:rPr>
        <w:t xml:space="preserve">Accountant </w:t>
      </w:r>
      <w:r>
        <w:t xml:space="preserve"> firm allowed LogiTrade to turn regulatory complexity into structured operational efficiency. As the economic landscape of</w:t>
      </w:r>
      <w:r>
        <w:t xml:space="preserve"> </w:t>
      </w:r>
      <w:r>
        <w:t xml:space="preserve">Turkey Istanbul</w:t>
      </w:r>
      <w:r>
        <w:t xml:space="preserve"> continues to evolve, businesses must prioritize partnerships with local accounting experts who can provide agile, compliant, and strategic financial guidance. The synergy between international business practices and local accounting expertise in</w:t>
      </w:r>
      <w:r>
        <w:t xml:space="preserve"> </w:t>
      </w:r>
      <w:r>
        <w:t xml:space="preserve">Turkey Istanbul</w:t>
      </w:r>
      <w:r>
        <w:t xml:space="preserve"> remains a critical driver of sustainable growth.</w:t>
      </w:r>
    </w:p>
    <w:p>
      <w:pPr>
        <w:pStyle w:val="BodyText"/>
      </w:pPr>
      <w:r>
        <w:rPr>
          <w:bCs/>
          <w:b/>
          <w:iCs/>
          <w:i/>
        </w:rPr>
        <w:t xml:space="preserve">Disclaimer:</w:t>
      </w:r>
      <w:r>
        <w:rPr>
          <w:iCs/>
          <w:i/>
        </w:rPr>
        <w:t xml:space="preserve"> This case study is for informational purposes only and does not constitute legal or financial advice. Businesses operating in</w:t>
      </w:r>
      <w:r>
        <w:rPr>
          <w:iCs/>
          <w:i/>
        </w:rPr>
        <w:t xml:space="preserve"> </w:t>
      </w:r>
      <w:r>
        <w:rPr>
          <w:iCs/>
          <w:i/>
        </w:rPr>
        <w:t xml:space="preserve">Turkey Istanbul</w:t>
      </w:r>
      <w:r>
        <w:rPr>
          <w:iCs/>
          <w:i/>
        </w:rPr>
        <w:t xml:space="preserve"> should consult with a qualified</w:t>
      </w:r>
      <w:r>
        <w:rPr>
          <w:iCs/>
          <w:i/>
        </w:rPr>
        <w:t xml:space="preserve"> </w:t>
      </w:r>
      <w:r>
        <w:rPr>
          <w:bCs/>
          <w:b/>
          <w:iCs/>
          <w:i/>
        </w:rPr>
        <w:t xml:space="preserve">Accountant </w:t>
      </w:r>
      <w:r>
        <w:rPr>
          <w:iCs/>
          <w:i/>
        </w:rPr>
        <w:t xml:space="preserve"> or legal advisor for specific guidance.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Compliance and Strategic Accounting in Turkey Istanbul</dc:title>
  <dc:creator/>
  <dc:language>en</dc:language>
  <cp:keywords/>
  <dcterms:created xsi:type="dcterms:W3CDTF">2026-07-29T07:11:37Z</dcterms:created>
  <dcterms:modified xsi:type="dcterms:W3CDTF">2026-07-29T07:11:37Z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