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Stewardship: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e3ce8f1c91f777e046810ca7612e1e43961ab83"/>
    <w:p>
      <w:pPr>
        <w:pStyle w:val="Heading1"/>
      </w:pPr>
      <w:r>
        <w:t xml:space="preserve">Navigating the Fiscal Horizon: A Case Study of an Accountant in United Arab Emirates Abu Dhabi</w:t>
      </w:r>
    </w:p>
    <w:p>
      <w:pPr>
        <w:pStyle w:val="FirstParagraph"/>
      </w:pPr>
      <w:r>
        <w:rPr>
          <w:bCs/>
          <w:b/>
        </w:rPr>
        <w:t xml:space="preserve">Date:</w:t>
      </w:r>
      <w:r>
        <w:t xml:space="preserve"> </w:t>
      </w:r>
      <w:r>
        <w:t xml:space="preserve">October 2023</w:t>
      </w:r>
      <w:r>
        <w:br/>
      </w:r>
      <w:r>
        <w:rPr>
          <w:bCs/>
          <w:b/>
        </w:rPr>
        <w:t xml:space="preserve">Subject:</w:t>
      </w:r>
      <w:r>
        <w:t xml:space="preserve">The Evolving Role of the Modern Accountant</w:t>
      </w:r>
      <w:r>
        <w:br/>
      </w:r>
      <w:r>
        <w:rPr>
          <w:bCs/>
          <w:b/>
        </w:rPr>
        <w:t xml:space="preserve">Location Context:</w:t>
      </w:r>
      <w:hyperlink w:anchor="uae-ad">
        <w:r>
          <w:rPr>
            <w:rStyle w:val="Hyperlink"/>
            <w:iCs/>
            <w:i/>
          </w:rPr>
          <w:t xml:space="preserve">Focusing on United Arab Emirates Abu Dhabi</w:t>
        </w:r>
      </w:hyperlink>
    </w:p>
    <w:bookmarkStart w:id="20" w:name="u7"/>
    <w:p>
      <w:pPr>
        <w:pStyle w:val="Heading2"/>
      </w:pPr>
      <w:r>
        <w:t xml:space="preserve">1. Executive Summary</w:t>
      </w:r>
    </w:p>
    <w:p>
      <w:pPr>
        <w:pStyle w:val="FirstParagraph"/>
      </w:pPr>
      <w:r>
        <w:t xml:space="preserve">The financial landscape of the global economy is undergoing a seismic shift, characterized by rapid digitalization, stringent regulatory compliance, and evolving tax frameworks. In this complex environment, the role of the</w:t>
      </w:r>
      <w:r>
        <w:t xml:space="preserve"> </w:t>
      </w:r>
      <w:r>
        <w:rPr>
          <w:bCs/>
          <w:b/>
        </w:rPr>
        <w:t xml:space="preserve">Accountant</w:t>
      </w:r>
      <w:r>
        <w:t xml:space="preserve"> </w:t>
      </w:r>
      <w:r>
        <w:t xml:space="preserve">has transcended traditional bookkeeping to become a strategic business partner essential for organizational survival and growth. This case study examines how professional accounting practices are being reshaped within one of the most dynamic economic hubs in the Middle East:</w:t>
      </w:r>
      <w:r>
        <w:t xml:space="preserve"> </w:t>
      </w:r>
      <w:hyperlink w:anchor="u7">
        <w:r>
          <w:rPr>
            <w:rStyle w:val="Hyperlink"/>
            <w:bCs/>
            <w:b/>
            <w:iCs/>
            <w:i/>
          </w:rPr>
          <w:t xml:space="preserve">United Arab Emirates Abu Dhabi</w:t>
        </w:r>
      </w:hyperlink>
      <w:r>
        <w:t xml:space="preserve">.</w:t>
      </w:r>
    </w:p>
    <w:p>
      <w:pPr>
        <w:pStyle w:val="BodyText"/>
      </w:pPr>
      <w:r>
        <w:t xml:space="preserve">The</w:t>
      </w:r>
      <w:r>
        <w:t xml:space="preserve"> </w:t>
      </w:r>
      <w:r>
        <w:rPr>
          <w:bCs/>
          <w:b/>
        </w:rPr>
        <w:t xml:space="preserve">United Arab Emirates Abu Dhabi</w:t>
      </w:r>
      <w:r>
        <w:t xml:space="preserve"> </w:t>
      </w:r>
      <w:r>
        <w:t xml:space="preserve">region stands as a testament to rapid economic diversification. Historically reliant on hydrocarbons, the emirate has aggressively pursued a vision of becoming a global center for business, tourism, and innovation. For the modern</w:t>
      </w:r>
      <w:r>
        <w:t xml:space="preserve"> </w:t>
      </w:r>
      <w:r>
        <w:rPr>
          <w:bCs/>
          <w:b/>
        </w:rPr>
        <w:t xml:space="preserve">Accountant</w:t>
      </w:r>
      <w:r>
        <w:t xml:space="preserve">, this transition presents both unprecedented opportunities and complex challenges. This document explores how an</w:t>
      </w:r>
      <w:r>
        <w:t xml:space="preserve"> </w:t>
      </w:r>
      <w:r>
        <w:rPr>
          <w:bCs/>
          <w:b/>
        </w:rPr>
        <w:t xml:space="preserve">Accountant</w:t>
      </w:r>
      <w:r>
        <w:t xml:space="preserve"> </w:t>
      </w:r>
      <w:r>
        <w:t xml:space="preserve">operating in this jurisdiction must navigate local corporate tax implementations, Value Added Tax (VAT) regulations, and international reporting standards while contributing to the strategic objectives of multinational corporations.</w:t>
      </w:r>
    </w:p>
    <w:bookmarkEnd w:id="20"/>
    <w:bookmarkStart w:id="21" w:name="u8"/>
    <w:p>
      <w:pPr>
        <w:pStyle w:val="Heading2"/>
      </w:pPr>
      <w:r>
        <w:t xml:space="preserve">2. Background: The Economic Context of United Arab Emirates Abu Dhabi</w:t>
      </w:r>
    </w:p>
    <w:p>
      <w:pPr>
        <w:pStyle w:val="FirstParagraph"/>
      </w:pPr>
      <w:r>
        <w:t xml:space="preserve">To understand the significance of this case study, one must first appreciate the unique economic ecosystem of</w:t>
      </w:r>
      <w:r>
        <w:t xml:space="preserve"> </w:t>
      </w:r>
      <w:hyperlink w:anchor="u8">
        <w:r>
          <w:rPr>
            <w:rStyle w:val="Hyperlink"/>
            <w:bCs/>
            <w:b/>
            <w:iCs/>
            <w:i/>
          </w:rPr>
          <w:t xml:space="preserve">United Arab Emirates Abu Dhabi</w:t>
        </w:r>
      </w:hyperlink>
      <w:r>
        <w:t xml:space="preserve">. As the capital emirate, it houses major state-owned enterprises, free zones such as Abu Dhabi Global Market (ADGM), and a thriving private sector. The government’s "Abu Dhabi Economic Vision 2030" aims to create a sustainable, knowledge-based economy.</w:t>
      </w:r>
    </w:p>
    <w:p>
      <w:pPr>
        <w:pStyle w:val="BodyText"/>
      </w:pPr>
      <w:r>
        <w:t xml:space="preserve">For any business entity in this region, financial integrity is not just a legal requirement but a competitive advantage. The presence of diverse industries ranging from aerospace and healthcare to finance and logistics creates a multifaceted demand for specialized accounting services. In this context, the</w:t>
      </w:r>
      <w:r>
        <w:t xml:space="preserve"> </w:t>
      </w:r>
      <w:r>
        <w:rPr>
          <w:bCs/>
          <w:b/>
        </w:rPr>
        <w:t xml:space="preserve">Accountant</w:t>
      </w:r>
      <w:r>
        <w:t xml:space="preserve"> </w:t>
      </w:r>
      <w:r>
        <w:t xml:space="preserve">serves as the custodian of trust, ensuring that financial statements reflect true economic realities amidst rapid market changes.</w:t>
      </w:r>
    </w:p>
    <w:bookmarkEnd w:id="21"/>
    <w:bookmarkStart w:id="23" w:name="u9"/>
    <w:p>
      <w:pPr>
        <w:pStyle w:val="Heading2"/>
      </w:pPr>
      <w:r>
        <w:t xml:space="preserve">3. The Challenge: Regulatory Evolution and Compliance</w:t>
      </w:r>
    </w:p>
    <w:p>
      <w:pPr>
        <w:pStyle w:val="FirstParagraph"/>
      </w:pPr>
      <w:r>
        <w:t xml:space="preserve">The primary challenge facing an</w:t>
      </w:r>
      <w:r>
        <w:t xml:space="preserve"> </w:t>
      </w:r>
      <w:r>
        <w:rPr>
          <w:bCs/>
          <w:b/>
        </w:rPr>
        <w:t xml:space="preserve">Accountant</w:t>
      </w:r>
      <w:r>
        <w:t xml:space="preserve"> </w:t>
      </w:r>
      <w:r>
        <w:t xml:space="preserve">in the current fiscal year is the implementation of new federal tax laws. For decades, businesses in the GCC operated under a zero-corporate-tax regime (with exceptions for oil companies). However, with the introduction of Federal Decree-Law No. 47 of 2022 on Taxation of Corporations and Businesses, effective June 1, 2023, the landscape has changed dramatically.</w:t>
      </w:r>
    </w:p>
    <w:bookmarkStart w:id="22" w:name="key-compliance-issues-for-the-accountant"/>
    <w:p>
      <w:pPr>
        <w:pStyle w:val="Heading3"/>
      </w:pPr>
      <w:r>
        <w:t xml:space="preserve">Key Compliance Issues for the Accountant:</w:t>
      </w:r>
    </w:p>
    <w:p>
      <w:pPr>
        <w:numPr>
          <w:ilvl w:val="0"/>
          <w:numId w:val="1001"/>
        </w:numPr>
        <w:pStyle w:val="Compact"/>
      </w:pPr>
      <w:r>
        <w:rPr>
          <w:bCs/>
          <w:b/>
        </w:rPr>
        <w:t xml:space="preserve">VAT Implementation:</w:t>
      </w:r>
      <w:r>
        <w:t xml:space="preserve"> </w:t>
      </w:r>
      <w:r>
        <w:t xml:space="preserve">Since January 2018, businesses with revenue exceeding AED 375,000 must register for VAT. The</w:t>
      </w:r>
      <w:r>
        <w:t xml:space="preserve"> </w:t>
      </w:r>
      <w:r>
        <w:rPr>
          <w:bCs/>
          <w:b/>
        </w:rPr>
        <w:t xml:space="preserve">Accountant</w:t>
      </w:r>
      <w:r>
        <w:t xml:space="preserve"> </w:t>
      </w:r>
      <w:r>
        <w:t xml:space="preserve">is responsible for accurate calculation, reporting via the Federal Tax Authority (FTA) portal, and managing cash flow impacts.</w:t>
      </w:r>
    </w:p>
    <w:p>
      <w:pPr>
        <w:numPr>
          <w:ilvl w:val="0"/>
          <w:numId w:val="1001"/>
        </w:numPr>
        <w:pStyle w:val="Compact"/>
      </w:pPr>
      <w:r>
        <w:rPr>
          <w:bCs/>
          <w:b/>
        </w:rPr>
        <w:t xml:space="preserve">Corporate Tax:</w:t>
      </w:r>
      <w:r>
        <w:t xml:space="preserve"> </w:t>
      </w:r>
      <w:r>
        <w:t xml:space="preserve">New entities must calculate taxable income at a 9% rate on profits exceeding AED 375,000. This requires sophisticated cost allocation and transfer pricing documentation.</w:t>
      </w:r>
    </w:p>
    <w:p>
      <w:pPr>
        <w:numPr>
          <w:ilvl w:val="0"/>
          <w:numId w:val="1001"/>
        </w:numPr>
        <w:pStyle w:val="Compact"/>
      </w:pPr>
      <w:r>
        <w:rPr>
          <w:bCs/>
          <w:b/>
        </w:rPr>
        <w:t xml:space="preserve">IFRS Adherence:</w:t>
      </w:r>
      <w:r>
        <w:t xml:space="preserve">In Abu Dhabi Global Market (ADGM) free zones, entities must adhere to International Financial Reporting Standards (IFRS), requiring</w:t>
      </w:r>
      <w:r>
        <w:t xml:space="preserve"> </w:t>
      </w:r>
      <w:r>
        <w:rPr>
          <w:bCs/>
          <w:b/>
        </w:rPr>
        <w:t xml:space="preserve">Accountant</w:t>
      </w:r>
      <w:r>
        <w:t xml:space="preserve">s to possess deep knowledge of global standards rather than just local practices.</w:t>
      </w:r>
    </w:p>
    <w:bookmarkEnd w:id="22"/>
    <w:p>
      <w:pPr>
        <w:pStyle w:val="FirstParagraph"/>
      </w:pPr>
      <w:r>
        <w:t xml:space="preserve">The case study highlights that an</w:t>
      </w:r>
      <w:r>
        <w:t xml:space="preserve"> </w:t>
      </w:r>
      <w:r>
        <w:rPr>
          <w:bCs/>
          <w:b/>
        </w:rPr>
        <w:t xml:space="preserve">Accountant</w:t>
      </w:r>
      <w:r>
        <w:t xml:space="preserve"> </w:t>
      </w:r>
      <w:r>
        <w:t xml:space="preserve">can no longer rely on historical precedents. They must continuously upskill to interpret the nuances of the FTA regulations and ensure that their clients avoid severe penalties associated with non-compliance.</w:t>
      </w:r>
    </w:p>
    <w:bookmarkEnd w:id="23"/>
    <w:bookmarkStart w:id="27" w:name="u10"/>
    <w:p>
      <w:pPr>
        <w:pStyle w:val="Heading2"/>
      </w:pPr>
      <w:r>
        <w:t xml:space="preserve">4. Strategic Solutions: The Accountant as a Business Partner</w:t>
      </w:r>
    </w:p>
    <w:p>
      <w:pPr>
        <w:pStyle w:val="FirstParagraph"/>
      </w:pPr>
      <w:r>
        <w:t xml:space="preserve">In response to these regulatory pressures, top-performing</w:t>
      </w:r>
      <w:r>
        <w:t xml:space="preserve"> </w:t>
      </w:r>
      <w:r>
        <w:rPr>
          <w:bCs/>
          <w:b/>
        </w:rPr>
        <w:t xml:space="preserve">Accountant</w:t>
      </w:r>
      <w:r>
        <w:t xml:space="preserve">s in</w:t>
      </w:r>
      <w:r>
        <w:t xml:space="preserve"> </w:t>
      </w:r>
      <w:hyperlink w:anchor="u10">
        <w:r>
          <w:rPr>
            <w:rStyle w:val="Hyperlink"/>
            <w:bCs/>
            <w:b/>
            <w:iCs/>
            <w:i/>
          </w:rPr>
          <w:t xml:space="preserve">United Arab Emirates Abu Dhabi</w:t>
        </w:r>
      </w:hyperlink>
      <w:r>
        <w:t xml:space="preserve"> </w:t>
      </w:r>
      <w:r>
        <w:t xml:space="preserve">have adopted a proactive, advisory-led approach. This section details three strategic pillars that define the modern accounting practice in this region.</w:t>
      </w:r>
    </w:p>
    <w:bookmarkStart w:id="24" w:name="sub1"/>
    <w:p>
      <w:pPr>
        <w:pStyle w:val="Heading3"/>
      </w:pPr>
      <w:r>
        <w:t xml:space="preserve">4.1 Digital Transformation and Automation</w:t>
      </w:r>
    </w:p>
    <w:p>
      <w:pPr>
        <w:pStyle w:val="FirstParagraph"/>
      </w:pPr>
      <w:r>
        <w:t xml:space="preserve">The adoption of cloud-based accounting software (such as Xero, QuickBooks Online, and SAP Business One) has become standard practice among forward-thinking firms in Abu Dhabi. An effective</w:t>
      </w:r>
      <w:r>
        <w:t xml:space="preserve"> </w:t>
      </w:r>
      <w:r>
        <w:rPr>
          <w:bCs/>
          <w:b/>
        </w:rPr>
        <w:t xml:space="preserve">Accountant</w:t>
      </w:r>
      <w:r>
        <w:t xml:space="preserve"> </w:t>
      </w:r>
      <w:r>
        <w:t xml:space="preserve">leverages these tools to automate routine tasks such as invoicing, reconciliation, and payroll processing. This automation reduces human error and frees up time for strategic analysis.</w:t>
      </w:r>
    </w:p>
    <w:p>
      <w:pPr>
        <w:pStyle w:val="BodyText"/>
      </w:pPr>
      <w:r>
        <w:t xml:space="preserve">In our case study scenario, a mid-sized trading company in Abu Dhabi reduced its monthly closing time by 40% after implementing automated financial workflows managed by their outsourced</w:t>
      </w:r>
      <w:r>
        <w:t xml:space="preserve"> </w:t>
      </w:r>
      <w:r>
        <w:rPr>
          <w:bCs/>
          <w:b/>
        </w:rPr>
        <w:t xml:space="preserve">Accountant</w:t>
      </w:r>
      <w:r>
        <w:t xml:space="preserve">. This efficiency allowed the CFO to focus on liquidity management and expansion strategies rather than data entry.</w:t>
      </w:r>
    </w:p>
    <w:bookmarkEnd w:id="24"/>
    <w:bookmarkStart w:id="25" w:name="sub2"/>
    <w:p>
      <w:pPr>
        <w:pStyle w:val="Heading3"/>
      </w:pPr>
      <w:r>
        <w:t xml:space="preserve">4.2 Transfer Pricing and International Compliance</w:t>
      </w:r>
    </w:p>
    <w:p>
      <w:pPr>
        <w:pStyle w:val="FirstParagraph"/>
      </w:pPr>
      <w:r>
        <w:t xml:space="preserve">Given the high volume of cross-border transactions in the GCC, transfer pricing is a critical area for any</w:t>
      </w:r>
      <w:r>
        <w:t xml:space="preserve"> </w:t>
      </w:r>
      <w:r>
        <w:rPr>
          <w:bCs/>
          <w:b/>
        </w:rPr>
        <w:t xml:space="preserve">Accountant</w:t>
      </w:r>
      <w:r>
        <w:t xml:space="preserve">. Multinational corporations operating in Abu Dhabi must ensure that transactions between related parties are conducted at arm's length. The</w:t>
      </w:r>
      <w:r>
        <w:t xml:space="preserve"> </w:t>
      </w:r>
      <w:r>
        <w:rPr>
          <w:bCs/>
          <w:b/>
        </w:rPr>
        <w:t xml:space="preserve">Accountant</w:t>
      </w:r>
      <w:r>
        <w:t xml:space="preserve"> </w:t>
      </w:r>
      <w:r>
        <w:t xml:space="preserve">is tasked with preparing comprehensive transfer pricing documentation to demonstrate compliance to local authorities and prevent double taxation issues.</w:t>
      </w:r>
    </w:p>
    <w:p>
      <w:pPr>
        <w:pStyle w:val="BodyText"/>
      </w:pPr>
      <w:r>
        <w:t xml:space="preserve">This role requires not only technical accounting skills but also a strong understanding of international tax treaties, particularly those involving the United Kingdom, India, and Europe, which are key trade partners for</w:t>
      </w:r>
      <w:r>
        <w:t xml:space="preserve"> </w:t>
      </w:r>
      <w:hyperlink w:anchor="sub2">
        <w:r>
          <w:rPr>
            <w:rStyle w:val="Hyperlink"/>
            <w:bCs/>
            <w:b/>
            <w:iCs/>
            <w:i/>
          </w:rPr>
          <w:t xml:space="preserve">United Arab Emirates Abu Dhabi</w:t>
        </w:r>
      </w:hyperlink>
      <w:r>
        <w:t xml:space="preserve">.</w:t>
      </w:r>
    </w:p>
    <w:bookmarkEnd w:id="25"/>
    <w:bookmarkStart w:id="26" w:name="sub3"/>
    <w:p>
      <w:pPr>
        <w:pStyle w:val="Heading3"/>
      </w:pPr>
      <w:r>
        <w:t xml:space="preserve">4.3 Sustainability and ESG Reporting</w:t>
      </w:r>
    </w:p>
    <w:p>
      <w:pPr>
        <w:pStyle w:val="FirstParagraph"/>
      </w:pPr>
      <w:r>
        <w:t xml:space="preserve">Sustainability is increasingly central to the economic vision of the UAE. The government has committed to net-zero emissions by 2050, prompting businesses to integrate Environmental, Social, and Governance (ESG) criteria into their reporting frameworks. Modern</w:t>
      </w:r>
      <w:r>
        <w:t xml:space="preserve"> </w:t>
      </w:r>
      <w:r>
        <w:rPr>
          <w:bCs/>
          <w:b/>
        </w:rPr>
        <w:t xml:space="preserve">Accountant</w:t>
      </w:r>
      <w:r>
        <w:t xml:space="preserve">s are now expected to assist clients in measuring carbon footprints and preparing non-financial disclosures that align with global sustainability standards like GRI (Global Reporting Initiative).</w:t>
      </w:r>
    </w:p>
    <w:p>
      <w:pPr>
        <w:pStyle w:val="BodyText"/>
      </w:pPr>
      <w:r>
        <w:t xml:space="preserve">In this case study, an energy consultancy in Abu Dhabi collaborated with its financial advisors to develop a robust ESG reporting framework. The</w:t>
      </w:r>
      <w:r>
        <w:t xml:space="preserve"> </w:t>
      </w:r>
      <w:r>
        <w:rPr>
          <w:bCs/>
          <w:b/>
        </w:rPr>
        <w:t xml:space="preserve">Accountant</w:t>
      </w:r>
      <w:r>
        <w:t xml:space="preserve"> </w:t>
      </w:r>
      <w:r>
        <w:t xml:space="preserve">played a pivotal role in quantifying social and environmental impacts, thereby enhancing the company’s appeal to international investors focused on sustainable finance.</w:t>
      </w:r>
    </w:p>
    <w:bookmarkEnd w:id="26"/>
    <w:bookmarkEnd w:id="27"/>
    <w:bookmarkStart w:id="28" w:name="u11"/>
    <w:p>
      <w:pPr>
        <w:pStyle w:val="Heading2"/>
      </w:pPr>
      <w:r>
        <w:t xml:space="preserve">5. Outcomes and Impact Assessment</w:t>
      </w:r>
    </w:p>
    <w:p>
      <w:pPr>
        <w:pStyle w:val="FirstParagraph"/>
      </w:pPr>
      <w:r>
        <w:t xml:space="preserve">The implementation of these advanced accounting strategies yielded significant results for businesses operating in this jurisdiction. By engaging a skilled and adaptable</w:t>
      </w:r>
      <w:r>
        <w:t xml:space="preserve"> </w:t>
      </w:r>
      <w:r>
        <w:rPr>
          <w:bCs/>
          <w:b/>
        </w:rPr>
        <w:t xml:space="preserve">Accountant</w:t>
      </w:r>
      <w:r>
        <w:t xml:space="preserve">, companies in Abu Dhabi achieved:</w:t>
      </w:r>
    </w:p>
    <w:p>
      <w:pPr>
        <w:numPr>
          <w:ilvl w:val="0"/>
          <w:numId w:val="1002"/>
        </w:numPr>
        <w:pStyle w:val="Compact"/>
      </w:pPr>
      <w:r>
        <w:rPr>
          <w:bCs/>
          <w:b/>
        </w:rPr>
        <w:t xml:space="preserve">Risk Mitigation:</w:t>
      </w:r>
    </w:p>
    <w:p>
      <w:pPr>
        <w:numPr>
          <w:ilvl w:val="0"/>
          <w:numId w:val="1002"/>
        </w:numPr>
        <w:pStyle w:val="Compact"/>
      </w:pPr>
      <w:r>
        <w:rPr>
          <w:bCs/>
          <w:b/>
        </w:rPr>
        <w:t xml:space="preserve">Cash Flow Optimization:</w:t>
      </w:r>
    </w:p>
    <w:p>
      <w:pPr>
        <w:numPr>
          <w:ilvl w:val="0"/>
          <w:numId w:val="1002"/>
        </w:numPr>
        <w:pStyle w:val="Compact"/>
      </w:pPr>
      <w:r>
        <w:rPr>
          <w:bCs/>
          <w:b/>
        </w:rPr>
        <w:t xml:space="preserve">Strategic Growth:</w:t>
      </w:r>
    </w:p>
    <w:p>
      <w:pPr>
        <w:pStyle w:val="FirstParagraph"/>
      </w:pPr>
      <w:r>
        <w:t xml:space="preserve">The case study confirms that when an</w:t>
      </w:r>
      <w:r>
        <w:t xml:space="preserve"> </w:t>
      </w:r>
      <w:r>
        <w:rPr>
          <w:bCs/>
          <w:b/>
        </w:rPr>
        <w:t xml:space="preserve">Accountant</w:t>
      </w:r>
      <w:r>
        <w:t xml:space="preserve"> </w:t>
      </w:r>
      <w:r>
        <w:t xml:space="preserve">acts as a strategic partner rather than just a compliance officer, they become an invaluable asset to the organization. This is particularly true in the fast-paced environment of</w:t>
      </w:r>
      <w:r>
        <w:t xml:space="preserve"> </w:t>
      </w:r>
      <w:hyperlink w:anchor="u11">
        <w:r>
          <w:rPr>
            <w:rStyle w:val="Hyperlink"/>
            <w:bCs/>
            <w:b/>
            <w:iCs/>
            <w:i/>
          </w:rPr>
          <w:t xml:space="preserve">United Arab Emirates Abu Dhabi</w:t>
        </w:r>
      </w:hyperlink>
      <w:r>
        <w:t xml:space="preserve">, where agility and accuracy are paramount.</w:t>
      </w:r>
    </w:p>
    <w:bookmarkEnd w:id="28"/>
    <w:bookmarkStart w:id="29" w:name="u12"/>
    <w:p>
      <w:pPr>
        <w:pStyle w:val="Heading2"/>
      </w:pPr>
      <w:r>
        <w:t xml:space="preserve">6. Conclusion</w:t>
      </w:r>
    </w:p>
    <w:p>
      <w:pPr>
        <w:pStyle w:val="FirstParagraph"/>
      </w:pPr>
      <w:r>
        <w:t xml:space="preserve">The future of accounting in the Middle East is bright but demanding. The role of the</w:t>
      </w:r>
      <w:r>
        <w:t xml:space="preserve"> </w:t>
      </w:r>
      <w:r>
        <w:rPr>
          <w:bCs/>
          <w:b/>
        </w:rPr>
        <w:t xml:space="preserve">Accountant</w:t>
      </w:r>
      <w:r>
        <w:t xml:space="preserve"> </w:t>
      </w:r>
      <w:r>
        <w:t xml:space="preserve">has evolved from a rear-view mirror function focused on historical data to a forward-looking discipline centered on prediction, strategy, and value creation. For professionals operating in</w:t>
      </w:r>
      <w:r>
        <w:t xml:space="preserve"> </w:t>
      </w:r>
      <w:hyperlink w:anchor="u12">
        <w:r>
          <w:rPr>
            <w:rStyle w:val="Hyperlink"/>
            <w:bCs/>
            <w:b/>
            <w:iCs/>
            <w:i/>
          </w:rPr>
          <w:t xml:space="preserve">United Arab Emirates Abu Dhabi</w:t>
        </w:r>
      </w:hyperlink>
      <w:r>
        <w:t xml:space="preserve">, this evolution is accelerated by robust economic visions and rigorous regulatory frameworks.</w:t>
      </w:r>
    </w:p>
    <w:p>
      <w:pPr>
        <w:pStyle w:val="BodyText"/>
      </w:pPr>
      <w:r>
        <w:t xml:space="preserve">This case study underscores that success requires a blend of technical expertise, technological proficiency, and strategic foresight. As the financial ecosystem continues to mature, the businesses that thrive will be those that recognize their</w:t>
      </w:r>
      <w:r>
        <w:t xml:space="preserve"> </w:t>
      </w:r>
      <w:r>
        <w:rPr>
          <w:bCs/>
          <w:b/>
        </w:rPr>
        <w:t xml:space="preserve">Accountant</w:t>
      </w:r>
      <w:r>
        <w:t xml:space="preserve"> </w:t>
      </w:r>
      <w:r>
        <w:t xml:space="preserve">as a key driver of sustainable growth and compliance excellence in the heart of the UAE.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 educational purposes regarding professional accounting practices in the specified region. All case study examples are fictionalized representations based on common industry trends observed in United Arab Emirates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Stewardship: A Case Study of an Accountant in United Arab Emirates Abu Dhabi</dc:title>
  <dc:creator/>
  <dc:language>en</dc:language>
  <cp:keywords/>
  <dcterms:created xsi:type="dcterms:W3CDTF">2026-07-29T17:57:41Z</dcterms:created>
  <dcterms:modified xsi:type="dcterms:W3CDTF">2026-07-29T17:57:41Z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