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Partnership</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the</w:t>
      </w:r>
      <w:r>
        <w:t xml:space="preserve"> </w:t>
      </w:r>
      <w:r>
        <w:t xml:space="preserve">UK</w:t>
      </w:r>
    </w:p>
    <w:bookmarkStart w:id="30" w:name="X53079152bbe5d7815fbe0cdeff0ebc0125df8ea"/>
    <w:p>
      <w:pPr>
        <w:pStyle w:val="Heading1"/>
      </w:pPr>
      <w:r>
        <w:t xml:space="preserve">Navigating Complexity: A Case Study of a Premier</w:t>
      </w:r>
      <w:r>
        <w:t xml:space="preserve"> </w:t>
      </w:r>
      <w:r>
        <w:rPr>
          <w:bCs/>
          <w:b/>
        </w:rPr>
        <w:t xml:space="preserve">Accountant</w:t>
      </w:r>
      <w:r>
        <w:t xml:space="preserve"> </w:t>
      </w:r>
      <w:r>
        <w:t xml:space="preserve">Serving Businesses in</w:t>
      </w:r>
      <w:r>
        <w:t xml:space="preserve"> </w:t>
      </w:r>
      <w:r>
        <w:rPr>
          <w:bCs/>
          <w:b/>
        </w:rPr>
        <w:t xml:space="preserve">Birmingham, United Kingdom Birmingham</w:t>
      </w:r>
    </w:p>
    <w:p>
      <w:pPr>
        <w:pStyle w:val="FirstParagraph"/>
      </w:pPr>
      <w:r>
        <w:rPr>
          <w:iCs/>
          <w:i/>
        </w:rPr>
        <w:t xml:space="preserve">Date: October 2023 | Sector: Financial Services &amp; Professional Consultancy | Location Focus:</w:t>
      </w:r>
    </w:p>
    <w:bookmarkStart w:id="20" w:name="executive-summary"/>
    <w:p>
      <w:pPr>
        <w:pStyle w:val="Heading2"/>
      </w:pPr>
      <w:r>
        <w:t xml:space="preserve">1. Executive Summary</w:t>
      </w:r>
    </w:p>
    <w:p>
      <w:pPr>
        <w:pStyle w:val="FirstParagraph"/>
      </w:pPr>
      <w:r>
        <w:t xml:space="preserve">In the rapidly evolving landscape of modern commerce, the role of financial professionals has transcended traditional bookkeeping. For small and medium-sized enterprises (SMEs) operating in major economic hubs, strategic financial guidance is no longer a luxury but a necessity for survival and growth. This document presents a detailed</w:t>
      </w:r>
      <w:r>
        <w:t xml:space="preserve"> </w:t>
      </w:r>
      <w:r>
        <w:rPr>
          <w:bCs/>
          <w:b/>
        </w:rPr>
        <w:t xml:space="preserve">Case Study</w:t>
      </w:r>
      <w:r>
        <w:t xml:space="preserve"> </w:t>
      </w:r>
      <w:r>
        <w:t xml:space="preserve">focusing on "Meridian Financial Solutions," an independent firm based in the city centre of Birmingham. The primary objective of this</w:t>
      </w:r>
      <w:r>
        <w:t xml:space="preserve"> </w:t>
      </w:r>
      <w:r>
        <w:rPr>
          <w:bCs/>
          <w:b/>
        </w:rPr>
        <w:t xml:space="preserve">Accountant</w:t>
      </w:r>
      <w:r>
        <w:t xml:space="preserve">-led initiative is to demonstrate how localized expertise, combined with national regulatory knowledge, can transform the financial health and operational efficiency of businesses within</w:t>
      </w:r>
      <w:r>
        <w:t xml:space="preserve"> </w:t>
      </w:r>
      <w:r>
        <w:rPr>
          <w:bCs/>
          <w:b/>
        </w:rPr>
        <w:t xml:space="preserve">Birmingham, United Kingdom Birmingham</w:t>
      </w:r>
      <w:r>
        <w:t xml:space="preserve">. By analyzing Meridian’s approach to client onboarding, digital transformation, and strategic planning, this study highlights the critical value added by professional accounting services in a competitive urban market.</w:t>
      </w:r>
    </w:p>
    <w:bookmarkEnd w:id="20"/>
    <w:bookmarkStart w:id="21" w:name="X00eaebaf3b41165274726fbf882d948d36b6a68"/>
    <w:p>
      <w:pPr>
        <w:pStyle w:val="Heading2"/>
      </w:pPr>
      <w:r>
        <w:t xml:space="preserve">2. Background and Context: The Birmingham Economic Landscape</w:t>
      </w:r>
    </w:p>
    <w:p>
      <w:pPr>
        <w:pStyle w:val="FirstParagraph"/>
      </w:pPr>
      <w:r>
        <w:t xml:space="preserve">Birmingham has long been recognized as the "Second City" of England and a pivotal economic engine for the</w:t>
      </w:r>
      <w:r>
        <w:t xml:space="preserve"> </w:t>
      </w:r>
      <w:r>
        <w:rPr>
          <w:bCs/>
          <w:b/>
        </w:rPr>
        <w:t xml:space="preserve">United Kingdom Birmingham</w:t>
      </w:r>
      <w:r>
        <w:t xml:space="preserve"> </w:t>
      </w:r>
      <w:r>
        <w:t xml:space="preserve">region. With significant investments in infrastructure, such as the HS2 railway project and ongoing regeneration of the city centre, Birmingham presents a unique mix of opportunities and challenges for its business community. From creative tech startups in Digbeth to established manufacturing firms in Erdington, the diversity of industry requires a tailored financial approach.</w:t>
      </w:r>
    </w:p>
    <w:p>
      <w:pPr>
        <w:pStyle w:val="BodyText"/>
      </w:pPr>
      <w:r>
        <w:t xml:space="preserve">However, many SMEs in this region face common hurdles: cash flow volatility during economic downturns, complexity surrounding post-Brexit trade regulations, and the increasing pressure to adopt sustainable business practices. In this context, hiring an</w:t>
      </w:r>
      <w:r>
        <w:t xml:space="preserve"> </w:t>
      </w:r>
      <w:r>
        <w:rPr>
          <w:bCs/>
          <w:b/>
        </w:rPr>
        <w:t xml:space="preserve">Accountant</w:t>
      </w:r>
      <w:r>
        <w:t xml:space="preserve"> </w:t>
      </w:r>
      <w:r>
        <w:t xml:space="preserve">who understands the local nuances of</w:t>
      </w:r>
      <w:r>
        <w:t xml:space="preserve"> </w:t>
      </w:r>
      <w:r>
        <w:rPr>
          <w:bCs/>
          <w:b/>
        </w:rPr>
        <w:t xml:space="preserve">Birmingham United Kingdom Birmingham</w:t>
      </w:r>
      <w:r>
        <w:t xml:space="preserve"> </w:t>
      </w:r>
      <w:r>
        <w:t xml:space="preserve">commerce is vital. Local accountants possess intimate knowledge of city-specific grants, local council tax implications for commercial properties, and networking opportunities that are exclusive to the region.</w:t>
      </w:r>
    </w:p>
    <w:bookmarkEnd w:id="21"/>
    <w:bookmarkStart w:id="22" w:name="Xa439c0df8f5002de5322681b53d82cf8d629d66"/>
    <w:p>
      <w:pPr>
        <w:pStyle w:val="Heading2"/>
      </w:pPr>
      <w:r>
        <w:t xml:space="preserve">3. The Client Profile: "GreenLeaf Logistics Ltd."</w:t>
      </w:r>
    </w:p>
    <w:p>
      <w:pPr>
        <w:pStyle w:val="FirstParagraph"/>
      </w:pPr>
      <w:r>
        <w:t xml:space="preserve">To illustrate the practical application of these services, this</w:t>
      </w:r>
      <w:r>
        <w:t xml:space="preserve"> </w:t>
      </w:r>
      <w:r>
        <w:rPr>
          <w:bCs/>
          <w:b/>
        </w:rPr>
        <w:t xml:space="preserve">Case Study</w:t>
      </w:r>
      <w:r>
        <w:br/>
      </w:r>
      <w:r>
        <w:t xml:space="preserve">examines GreenLeaf Logistics Ltd., a mid-sized distribution company headquartered in Aston, Birmingham. Founded five years ago, GreenLeaf had experienced rapid growth but began to struggle with profitability margins. While their revenue increased by 30% year-on-year, their net profit remained stagnant at 4%. The founders were highly skilled in logistics but lacked the financial acumen to interpret their data effectively.</w:t>
      </w:r>
    </w:p>
    <w:p>
      <w:pPr>
        <w:pStyle w:val="BodyText"/>
      </w:pPr>
      <w:r>
        <w:t xml:space="preserve">The primary pain points identified during the initial consultation included:</w:t>
      </w:r>
    </w:p>
    <w:p>
      <w:pPr>
        <w:numPr>
          <w:ilvl w:val="0"/>
          <w:numId w:val="1001"/>
        </w:numPr>
        <w:pStyle w:val="Compact"/>
      </w:pPr>
      <w:r>
        <w:rPr>
          <w:bCs/>
          <w:b/>
        </w:rPr>
        <w:t xml:space="preserve">Inaccurate Costing Models:</w:t>
      </w:r>
      <w:r>
        <w:t xml:space="preserve"> </w:t>
      </w:r>
      <w:r>
        <w:t xml:space="preserve">They were underestimating fuel and maintenance costs, leading to thin margins.</w:t>
      </w:r>
    </w:p>
    <w:p>
      <w:pPr>
        <w:numPr>
          <w:ilvl w:val="0"/>
          <w:numId w:val="1001"/>
        </w:numPr>
        <w:pStyle w:val="Compact"/>
      </w:pPr>
      <w:r>
        <w:rPr>
          <w:bCs/>
          <w:b/>
        </w:rPr>
        <w:t xml:space="preserve">Cash Flow Management:</w:t>
      </w:r>
    </w:p>
    <w:p>
      <w:pPr>
        <w:numPr>
          <w:ilvl w:val="0"/>
          <w:numId w:val="1001"/>
        </w:numPr>
        <w:pStyle w:val="Compact"/>
      </w:pPr>
      <w:r>
        <w:rPr>
          <w:bCs/>
          <w:b/>
        </w:rPr>
        <w:t xml:space="preserve">Tax Compliance Risks:</w:t>
      </w:r>
      <w:r>
        <w:t xml:space="preserve"> </w:t>
      </w:r>
      <w:r>
        <w:t xml:space="preserve">Lack of foresight regarding VAT returns and Corporation Tax planning led to unexpected liabilities.</w:t>
      </w:r>
    </w:p>
    <w:bookmarkEnd w:id="22"/>
    <w:bookmarkStart w:id="26" w:name="X894c0cdd7dad65af95c1ed80146fb1b9d3138c3"/>
    <w:p>
      <w:pPr>
        <w:pStyle w:val="Heading2"/>
      </w:pPr>
      <w:r>
        <w:t xml:space="preserve">4. The Role of the Accountant: Strategic Intervention</w:t>
      </w:r>
    </w:p>
    <w:p>
      <w:pPr>
        <w:pStyle w:val="FirstParagraph"/>
      </w:pPr>
      <w:r>
        <w:t xml:space="preserve">Meridian Financial Solutions engaged with GreenLeaf not merely as a bookkeeper, but as a strategic</w:t>
      </w:r>
      <w:r>
        <w:t xml:space="preserve"> </w:t>
      </w:r>
      <w:r>
        <w:rPr>
          <w:bCs/>
          <w:b/>
        </w:rPr>
        <w:t xml:space="preserve">Accountant</w:t>
      </w:r>
      <w:r>
        <w:t xml:space="preserve">. The intervention was structured into three phases, designed to stabilize and then accelerate business performance.</w:t>
      </w:r>
    </w:p>
    <w:bookmarkStart w:id="23" w:name="X0bb3daf78815d0253ffce6867cce7803cc65ff8"/>
    <w:p>
      <w:pPr>
        <w:pStyle w:val="Heading3"/>
      </w:pPr>
      <w:r>
        <w:t xml:space="preserve">Phase 1: Diagnostic Audit and Process Standardization</w:t>
      </w:r>
    </w:p>
    <w:p>
      <w:pPr>
        <w:pStyle w:val="FirstParagraph"/>
      </w:pPr>
      <w:r>
        <w:t xml:space="preserve">The first step involved a comprehensive audit of GreenLeaf’s existing financial records. As an</w:t>
      </w:r>
      <w:r>
        <w:t xml:space="preserve"> </w:t>
      </w:r>
      <w:r>
        <w:rPr>
          <w:bCs/>
          <w:b/>
        </w:rPr>
        <w:t xml:space="preserve">Accountant</w:t>
      </w:r>
      <w:r>
        <w:t xml:space="preserve">, the team identified that the previous internal record-keeping was disjointed, relying on spreadsheets that were prone to human error. Meridian implemented cloud-based accounting software (Xero) integrated directly with GreenLeaf’s banking systems and invoicing platforms. This transition ensured real-time visibility of financial data, a crucial feature for businesses operating in the fast-paced environment of</w:t>
      </w:r>
      <w:r>
        <w:t xml:space="preserve"> </w:t>
      </w:r>
      <w:r>
        <w:rPr>
          <w:bCs/>
          <w:b/>
        </w:rPr>
        <w:t xml:space="preserve">Birmingham United Kingdom Birmingham</w:t>
      </w:r>
      <w:r>
        <w:t xml:space="preserve">.</w:t>
      </w:r>
    </w:p>
    <w:bookmarkEnd w:id="23"/>
    <w:bookmarkStart w:id="24" w:name="X138c90b489242af4b25e8dafd7e66667084e50c"/>
    <w:p>
      <w:pPr>
        <w:pStyle w:val="Heading3"/>
      </w:pPr>
      <w:r>
        <w:t xml:space="preserve">Phase 2: Cost Analysis and Pricing Strategy</w:t>
      </w:r>
    </w:p>
    <w:p>
      <w:pPr>
        <w:pStyle w:val="FirstParagraph"/>
      </w:pPr>
      <w:r>
        <w:t xml:space="preserve">Leveraging their expertise, the</w:t>
      </w:r>
      <w:r>
        <w:t xml:space="preserve"> </w:t>
      </w:r>
      <w:r>
        <w:rPr>
          <w:bCs/>
          <w:b/>
        </w:rPr>
        <w:t xml:space="preserve">Accountant</w:t>
      </w:r>
    </w:p>
    <w:bookmarkEnd w:id="24"/>
    <w:bookmarkStart w:id="25" w:name="X75647e7fdfc9e32da97d131e5825614682ae18f"/>
    <w:p>
      <w:pPr>
        <w:pStyle w:val="Heading3"/>
      </w:pPr>
      <w:r>
        <w:t xml:space="preserve">Phase 3: Proactive Tax Planning and Compliance</w:t>
      </w:r>
    </w:p>
    <w:p>
      <w:pPr>
        <w:pStyle w:val="FirstParagraph"/>
      </w:pPr>
      <w:r>
        <w:t xml:space="preserve">In the</w:t>
      </w:r>
      <w:r>
        <w:t xml:space="preserve"> </w:t>
      </w:r>
      <w:r>
        <w:rPr>
          <w:bCs/>
          <w:b/>
        </w:rPr>
        <w:t xml:space="preserve">United Kingdom Birmingham</w:t>
      </w:r>
      <w:r>
        <w:t xml:space="preserve"> </w:t>
      </w:r>
      <w:r>
        <w:t xml:space="preserve">market, tax efficiency is paramount. The</w:t>
      </w:r>
      <w:r>
        <w:t xml:space="preserve"> </w:t>
      </w:r>
      <w:r>
        <w:rPr>
          <w:bCs/>
          <w:b/>
        </w:rPr>
        <w:t xml:space="preserve">Accountant</w:t>
      </w:r>
    </w:p>
    <w:bookmarkEnd w:id="25"/>
    <w:bookmarkEnd w:id="26"/>
    <w:bookmarkStart w:id="27" w:name="outcomes-and-impact"/>
    <w:p>
      <w:pPr>
        <w:pStyle w:val="Heading2"/>
      </w:pPr>
      <w:r>
        <w:t xml:space="preserve">5. Outcomes and Impact</w:t>
      </w:r>
    </w:p>
    <w:p>
      <w:pPr>
        <w:pStyle w:val="FirstParagraph"/>
      </w:pPr>
      <w:r>
        <w:t xml:space="preserve">The results of this partnership were immediate and measurable over a twelve-month period. The integration of professional accounting practices led to the following outcomes:</w:t>
      </w:r>
    </w:p>
    <w:p>
      <w:pPr>
        <w:numPr>
          <w:ilvl w:val="0"/>
          <w:numId w:val="1002"/>
        </w:numPr>
        <w:pStyle w:val="Compact"/>
      </w:pPr>
      <w:r>
        <w:rPr>
          <w:bCs/>
          <w:b/>
        </w:rPr>
        <w:t xml:space="preserve">Increased Profitability:</w:t>
      </w:r>
      <w:r>
        <w:t xml:space="preserve">  Net profit margins improved from 4% to 11%, directly impacting the owners' ability to reinvest in the business.</w:t>
      </w:r>
    </w:p>
    <w:p>
      <w:pPr>
        <w:numPr>
          <w:ilvl w:val="0"/>
          <w:numId w:val="1002"/>
        </w:numPr>
        <w:pStyle w:val="Compact"/>
      </w:pPr>
      <w:r>
        <w:rPr>
          <w:bCs/>
          <w:b/>
        </w:rPr>
        <w:t xml:space="preserve">Cash Flow Stability:Accountant</w:t>
      </w:r>
      <w:r>
        <w:t xml:space="preserve">.</w:t>
      </w:r>
    </w:p>
    <w:p>
      <w:pPr>
        <w:numPr>
          <w:ilvl w:val="0"/>
          <w:numId w:val="1002"/>
        </w:numPr>
        <w:pStyle w:val="Compact"/>
      </w:pPr>
      <w:r>
        <w:t xml:space="preserve">Growth Facilitation: We enabled GreenLeaf to secure a bank loan for fleet expansion. Lenders were impressed by the clean, professional financial statements provided by Meridian, which are standard requirements for any serious</w:t>
      </w:r>
      <w:r>
        <w:t xml:space="preserve"> </w:t>
      </w:r>
      <w:r>
        <w:rPr>
          <w:bCs/>
          <w:b/>
        </w:rPr>
        <w:t xml:space="preserve">Case Study</w:t>
      </w:r>
      <w:r>
        <w:t xml:space="preserve"> </w:t>
      </w:r>
      <w:r>
        <w:t xml:space="preserve">on business growth.</w:t>
      </w:r>
    </w:p>
    <w:p>
      <w:pPr>
        <w:numPr>
          <w:ilvl w:val="0"/>
          <w:numId w:val="1002"/>
        </w:numPr>
        <w:pStyle w:val="Compact"/>
      </w:pPr>
      <w:r>
        <w:t xml:space="preserve">Risk Mitigation: All compliance deadlines were met without error, providing peace of mind to the directors.</w:t>
      </w:r>
    </w:p>
    <w:bookmarkEnd w:id="27"/>
    <w:bookmarkStart w:id="28" w:name="X47da6943eac79870bfd0327157654438b6db336"/>
    <w:p>
      <w:pPr>
        <w:pStyle w:val="Heading2"/>
      </w:pPr>
      <w:r>
        <w:t xml:space="preserve">6. Discussion: The Importance of Local Expertise in the United Kingdom Birmingham Region</w:t>
      </w:r>
    </w:p>
    <w:p>
      <w:pPr>
        <w:pStyle w:val="FirstParagraph"/>
      </w:pPr>
      <w:r>
        <w:t xml:space="preserve">This</w:t>
      </w:r>
      <w:r>
        <w:t xml:space="preserve"> </w:t>
      </w:r>
      <w:r>
        <w:rPr>
          <w:bCs/>
          <w:b/>
        </w:rPr>
        <w:t xml:space="preserve">Case Study</w:t>
      </w:r>
      <w:r>
        <w:t xml:space="preserve"> underscores why local relevance matters. An</w:t>
      </w:r>
      <w:r>
        <w:t xml:space="preserve"> </w:t>
      </w:r>
      <w:r>
        <w:rPr>
          <w:bCs/>
          <w:b/>
        </w:rPr>
        <w:t xml:space="preserve">Accountant</w:t>
      </w:r>
      <w:r>
        <w:t xml:space="preserve"> based in</w:t>
      </w:r>
      <w:r>
        <w:t xml:space="preserve"> </w:t>
      </w:r>
      <w:r>
        <w:rPr>
          <w:bCs/>
          <w:b/>
        </w:rPr>
        <w:t xml:space="preserve">Birmingham, United Kingdom Birmingham</w:t>
      </w:r>
      <w:r>
        <w:t xml:space="preserve">, offers more than just general UK GAAP knowledge. They provide contextual insights that remote or generic firms cannot match.</w:t>
      </w:r>
    </w:p>
    <w:p>
      <w:pPr>
        <w:pStyle w:val="BodyText"/>
      </w:pPr>
      <w:r>
        <w:t xml:space="preserve">For instance, Meridian was aware of specific Birmingham City Council grants available for green logistics initiatives, which GreenLeaf qualified for due to their investment in electric vehicles. This localized intelligence, provided by the</w:t>
      </w:r>
      <w:r>
        <w:t xml:space="preserve"> </w:t>
      </w:r>
      <w:r>
        <w:rPr>
          <w:bCs/>
          <w:b/>
        </w:rPr>
        <w:t xml:space="preserve">Accountant</w:t>
      </w:r>
      <w:r>
        <w:t xml:space="preserve">, resulted in an additional £15,000 in non-dilutive funding. Furthermore, understanding the local commercial property market helped advise on leasehold improvements that could be capitalized rather than expensed immediately.</w:t>
      </w:r>
    </w:p>
    <w:p>
      <w:pPr>
        <w:pStyle w:val="BodyText"/>
      </w:pPr>
      <w:r>
        <w:t xml:space="preserve">The proximity of the</w:t>
      </w:r>
      <w:r>
        <w:t xml:space="preserve"> </w:t>
      </w:r>
      <w:r>
        <w:rPr>
          <w:bCs/>
          <w:b/>
        </w:rPr>
        <w:t xml:space="preserve">Accountant</w:t>
      </w:r>
      <w:r>
        <w:t xml:space="preserve"> to the client also facilitated face-to-face meetings at their Aston office, building trust and ensuring complex financial concepts were clearly understood. This personal touch is often missing in large, outsourced accounting firms but is highly valued by SMEs in</w:t>
      </w:r>
      <w:r>
        <w:t xml:space="preserve"> </w:t>
      </w:r>
      <w:r>
        <w:rPr>
          <w:bCs/>
          <w:b/>
        </w:rPr>
        <w:t xml:space="preserve">Birmingham United Kingdom Birmingham</w:t>
      </w:r>
      <w:r>
        <w:t xml:space="preserve">.</w:t>
      </w:r>
    </w:p>
    <w:bookmarkEnd w:id="28"/>
    <w:bookmarkStart w:id="29" w:name="conclusion"/>
    <w:p>
      <w:pPr>
        <w:pStyle w:val="Heading2"/>
      </w:pPr>
      <w:r>
        <w:t xml:space="preserve">7. Conclusion</w:t>
      </w:r>
    </w:p>
    <w:p>
      <w:pPr>
        <w:pStyle w:val="FirstParagraph"/>
      </w:pPr>
      <w:r>
        <w:t xml:space="preserve">The transformation of GreenLeaf Logistics Ltd. serves as a compelling</w:t>
      </w:r>
    </w:p>
    <w:p>
      <w:pPr>
        <w:pStyle w:val="BodyText"/>
      </w:pPr>
      <w:r>
        <w:t xml:space="preserve">Case Study  of how professional financial guidance can revolutionize a business’s trajectory. By engaging a dedicated</w:t>
      </w:r>
    </w:p>
    <w:p>
      <w:pPr>
        <w:pStyle w:val="BodyText"/>
      </w:pPr>
      <w:r>
        <w:t xml:space="preserve">Accountant  with deep roots in the</w:t>
      </w:r>
      <w:r>
        <w:t xml:space="preserve"> </w:t>
      </w:r>
      <w:r>
        <w:rPr>
          <w:bCs/>
          <w:b/>
        </w:rPr>
        <w:t xml:space="preserve">Birmingham, United Kingdom Birmingham</w:t>
      </w:r>
      <w:r>
        <w:t xml:space="preserve"> ecosystem, GreenLeaf moved from reactive firefighting to proactive strategic planning.</w:t>
      </w:r>
    </w:p>
    <w:p>
      <w:pPr>
        <w:pStyle w:val="BodyText"/>
      </w:pPr>
      <w:r>
        <w:t xml:space="preserve">This document illustrates that an</w:t>
      </w:r>
      <w:r>
        <w:t xml:space="preserve"> </w:t>
      </w:r>
      <w:r>
        <w:rPr>
          <w:bCs/>
          <w:b/>
        </w:rPr>
        <w:t xml:space="preserve">Accountant</w:t>
      </w:r>
      <w:r>
        <w:t xml:space="preserve"> is not simply a compliance officer but a strategic partner who can drive efficiency, ensure regulatory adherence, and uncover hidden value. For businesses operating in the dynamic economic zone of</w:t>
      </w:r>
      <w:r>
        <w:t xml:space="preserve"> </w:t>
      </w:r>
      <w:r>
        <w:rPr>
          <w:bCs/>
          <w:b/>
        </w:rPr>
        <w:t xml:space="preserve">Birmingham United Kingdom Birmingham</w:t>
      </w:r>
      <w:r>
        <w:t xml:space="preserve">, partnering with an expert financial advisor is arguably one of the most significant decisions they can make to secure long-term sustainability and growth.</w:t>
      </w:r>
    </w:p>
    <w:p>
      <w:pPr>
        <w:pStyle w:val="BodyText"/>
      </w:pPr>
      <w:r>
        <w:t xml:space="preserve">The lessons drawn from this</w:t>
      </w:r>
    </w:p>
    <w:p>
      <w:pPr>
        <w:pStyle w:val="BodyText"/>
      </w:pPr>
      <w:r>
        <w:t xml:space="preserve">Case Study  are clear: invest in professional accounting services early, demand transparency and technological integration, and seek partners who understand the specific regional dynamics of your operating environment. Whether you are a startup in Jewellery Quarter or an established manufacturer in Erdington, the right</w:t>
      </w:r>
      <w:r>
        <w:t xml:space="preserve"> </w:t>
      </w:r>
      <w:r>
        <w:rPr>
          <w:bCs/>
          <w:b/>
        </w:rPr>
        <w:t xml:space="preserve">Accountant</w:t>
      </w:r>
      <w:r>
        <w:t xml:space="preserve"> can be the catalyst for your next phase of success.</w:t>
      </w:r>
    </w:p>
    <w:p>
      <w:pPr>
        <w:pStyle w:val="BodyText"/>
      </w:pPr>
      <w:r>
        <w:rPr>
          <w:iCs/>
          <w:i/>
        </w:rPr>
        <w:t xml:space="preserve">This document is for informational purposes only and constitutes a hypothetical case study based on typical industry practices. All names and companies mentioned are fictional representations used to illustrate best practices in accounting services within the specified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Partnership in the Heart of the UK</dc:title>
  <dc:creator/>
  <dc:language>en</dc:language>
  <cp:keywords/>
  <dcterms:created xsi:type="dcterms:W3CDTF">2026-07-29T18:36:05Z</dcterms:created>
  <dcterms:modified xsi:type="dcterms:W3CDTF">2026-07-29T18:36:05Z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