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d2fa1008b6ff6c153121e76ff23cc8d67c7a7d9"/>
    <w:p>
      <w:pPr>
        <w:pStyle w:val="Heading1"/>
      </w:pPr>
      <w:r>
        <w:t xml:space="preserve">A Comprehensive Case Study on the Accountant Role in the United States San Francisco</w:t>
      </w:r>
    </w:p>
    <w:p>
      <w:pPr>
        <w:pStyle w:val="FirstParagraph"/>
      </w:pPr>
      <w:r>
        <w:rPr>
          <w:bCs/>
          <w:b/>
        </w:rPr>
        <w:t xml:space="preserve">Date:</w:t>
      </w:r>
      <w:r>
        <w:t xml:space="preserve"> </w:t>
      </w:r>
      <w:r>
        <w:t xml:space="preserve">October 26, 2023</w:t>
      </w:r>
      <w:r>
        <w:br/>
      </w:r>
      <w:r>
        <w:rPr>
          <w:bCs/>
          <w:b/>
        </w:rPr>
        <w:t xml:space="preserve">Jurisdiction:</w:t>
      </w:r>
      <w:hyperlink w:anchor="Xa39a3ee5e6b4b0d3255bfef95601890afd80709">
        <w:r>
          <w:rPr>
            <w:rStyle w:val="Hyperlink"/>
          </w:rPr>
          <w:t xml:space="preserve">United States San Francisco</w:t>
        </w:r>
      </w:hyperlink>
    </w:p>
    <w:bookmarkStart w:id="20" w:name="executive-summary"/>
    <w:p>
      <w:pPr>
        <w:pStyle w:val="Heading2"/>
      </w:pPr>
      <w:r>
        <w:t xml:space="preserve">Executive Summary</w:t>
      </w:r>
    </w:p>
    <w:p>
      <w:pPr>
        <w:pStyle w:val="FirstParagraph"/>
      </w:pPr>
      <w:r>
        <w:t xml:space="preserve">The financial landscape in the</w:t>
      </w:r>
      <w:r>
        <w:t xml:space="preserve"> </w:t>
      </w:r>
      <w:hyperlink w:anchor="Xa39a3ee5e6b4b0d3255bfef95601890afd80709">
        <w:r>
          <w:rPr>
            <w:rStyle w:val="Hyperlink"/>
          </w:rPr>
          <w:t xml:space="preserve">United States San Francisco</w:t>
        </w:r>
      </w:hyperlink>
      <w:r>
        <w:t xml:space="preserve"> </w:t>
      </w:r>
      <w:r>
        <w:t xml:space="preserve">is defined by rapid innovation, high volatility, and a dense concentration of technology giants alongside a vibrant startup ecosystem. Within this dynamic environment, the role of an</w:t>
      </w:r>
      <w:r>
        <w:t xml:space="preserve"> </w:t>
      </w:r>
      <w:r>
        <w:rPr>
          <w:bCs/>
          <w:b/>
        </w:rPr>
        <w:t xml:space="preserve">Accountant</w:t>
      </w:r>
      <w:r>
        <w:t xml:space="preserve"> </w:t>
      </w:r>
      <w:r>
        <w:t xml:space="preserve">extends far beyond traditional bookkeeping and tax compliance. This case study explores the critical function that modern accounting professionals serve in navigating the complex regulatory frameworks, tax incentives, and financial reporting standards unique to Silicon Valley.</w:t>
      </w:r>
    </w:p>
    <w:bookmarkEnd w:id="20"/>
    <w:bookmarkStart w:id="21" w:name="X46ef992f5fc664f44d95d337b6f93f015e8218f"/>
    <w:p>
      <w:pPr>
        <w:pStyle w:val="Heading2"/>
      </w:pPr>
      <w:r>
        <w:t xml:space="preserve">The Unique Economic Context of United States San Francisco</w:t>
      </w:r>
    </w:p>
    <w:p>
      <w:pPr>
        <w:pStyle w:val="FirstParagraph"/>
      </w:pPr>
      <w:r>
        <w:t xml:space="preserve">To understand the necessity of specialized financial expertise, one must first analyze the economic drivers of</w:t>
      </w:r>
      <w:r>
        <w:t xml:space="preserve"> </w:t>
      </w:r>
      <w:hyperlink w:anchor="Xa39a3ee5e6b4b0d3255bfef95601890afd80709">
        <w:r>
          <w:rPr>
            <w:rStyle w:val="Hyperlink"/>
          </w:rPr>
          <w:t xml:space="preserve">United States San Francisco</w:t>
        </w:r>
      </w:hyperlink>
      <w:r>
        <w:t xml:space="preserve">. The city serves as a global hub for fintech, biotechnology, software development, and venture capital. Consequently, local businesses operate under a dual pressure: they must adhere to strict federal regulations set by the Internal Revenue Service (IRS) while simultaneously managing state-specific mandates from California and municipal requirements imposed by the City &amp; County of</w:t>
      </w:r>
      <w:r>
        <w:t xml:space="preserve"> </w:t>
      </w:r>
      <w:hyperlink w:anchor="Xa39a3ee5e6b4b0d3255bfef95601890afd80709">
        <w:r>
          <w:rPr>
            <w:rStyle w:val="Hyperlink"/>
          </w:rPr>
          <w:t xml:space="preserve">United States San Francisco</w:t>
        </w:r>
      </w:hyperlink>
      <w:r>
        <w:t xml:space="preserve">.</w:t>
      </w:r>
    </w:p>
    <w:p>
      <w:pPr>
        <w:pStyle w:val="BodyText"/>
      </w:pPr>
      <w:r>
        <w:t xml:space="preserve">This tripartite regulatory environment creates a unique challenge for financial management. The cost of living is among the highest in the nation, which directly impacts compensation structures, payroll tax withholdings, and employee benefit classifications. Furthermore, the transient nature of tech talent requires agile accounting systems capable of handling frequent changes in workforce status and equity-based compensation packages.</w:t>
      </w:r>
    </w:p>
    <w:bookmarkEnd w:id="21"/>
    <w:bookmarkStart w:id="22" w:name="the-evolving-role-of-the-accountant"/>
    <w:p>
      <w:pPr>
        <w:pStyle w:val="Heading2"/>
      </w:pPr>
      <w:r>
        <w:t xml:space="preserve">The Evolving Role of the Accountant</w:t>
      </w:r>
    </w:p>
    <w:p>
      <w:pPr>
        <w:pStyle w:val="FirstParagraph"/>
      </w:pPr>
      <w:r>
        <w:t xml:space="preserve">In previous decades, the primary duty of an</w:t>
      </w:r>
      <w:r>
        <w:t xml:space="preserve"> </w:t>
      </w:r>
      <w:r>
        <w:rPr>
          <w:bCs/>
          <w:b/>
        </w:rPr>
        <w:t xml:space="preserve">Accountant</w:t>
      </w:r>
      <w:r>
        <w:t xml:space="preserve"> </w:t>
      </w:r>
      <w:r>
        <w:t xml:space="preserve">was historical reporting—telling a business owner what happened in the past quarter. However, in</w:t>
      </w:r>
      <w:r>
        <w:t xml:space="preserve"> </w:t>
      </w:r>
      <w:hyperlink w:anchor="Xa39a3ee5e6b4b0d3255bfef95601890afd80709">
        <w:r>
          <w:rPr>
            <w:rStyle w:val="Hyperlink"/>
          </w:rPr>
          <w:t xml:space="preserve">United States San Francisco</w:t>
        </w:r>
      </w:hyperlink>
      <w:r>
        <w:t xml:space="preserve">, this model is obsolete. Today’s financial professionals act as strategic advisors who provide forward-looking insights to sustain growth amidst fierce competition.</w:t>
      </w:r>
    </w:p>
    <w:p>
      <w:pPr>
        <w:pStyle w:val="BodyText"/>
      </w:pPr>
      <w:r>
        <w:rPr>
          <w:bCs/>
          <w:b/>
        </w:rPr>
        <w:t xml:space="preserve">1. Strategic Tax Planning and Incentives:</w:t>
      </w:r>
      <w:r>
        <w:br/>
      </w:r>
      <w:r>
        <w:t xml:space="preserve">One of the most significant aspects of the accounting role in this region involves navigating local tax incentives.</w:t>
      </w:r>
      <w:r>
        <w:t xml:space="preserve"> </w:t>
      </w:r>
      <w:hyperlink w:anchor="Xa39a3ee5e6b4b0d3255bfef95601890afd80709">
        <w:r>
          <w:rPr>
            <w:rStyle w:val="Hyperlink"/>
          </w:rPr>
          <w:t xml:space="preserve">United States San Francisco</w:t>
        </w:r>
      </w:hyperlink>
      <w:r>
        <w:t xml:space="preserve"> </w:t>
      </w:r>
      <w:r>
        <w:t xml:space="preserve">offers various tax abatements for small businesses, green technology initiatives, and affordable housing projects. An expert</w:t>
      </w:r>
      <w:r>
        <w:t xml:space="preserve"> </w:t>
      </w:r>
      <w:r>
        <w:rPr>
          <w:bCs/>
          <w:b/>
        </w:rPr>
        <w:t xml:space="preserve">Accountant</w:t>
      </w:r>
      <w:r>
        <w:t xml:space="preserve"> </w:t>
      </w:r>
      <w:r>
        <w:t xml:space="preserve">is required to identify these opportunities early in a company’s lifecycle to maximize cash flow and reinvestment potential. Failure to leverage these local incentives can result in unnecessary financial burdens that hinder competitiveness.</w:t>
      </w:r>
    </w:p>
    <w:p>
      <w:pPr>
        <w:pStyle w:val="BodyText"/>
      </w:pPr>
      <w:r>
        <w:rPr>
          <w:bCs/>
          <w:b/>
        </w:rPr>
        <w:t xml:space="preserve">2. Handling Equity Compensation:</w:t>
      </w:r>
      <w:r>
        <w:br/>
      </w:r>
      <w:r>
        <w:t xml:space="preserve">The tech-centric economy of</w:t>
      </w:r>
      <w:r>
        <w:t xml:space="preserve"> </w:t>
      </w:r>
      <w:hyperlink w:anchor="Xa39a3ee5e6b4b0d3255bfef95601890afd80709">
        <w:r>
          <w:rPr>
            <w:rStyle w:val="Hyperlink"/>
          </w:rPr>
          <w:t xml:space="preserve">United States San Francisco</w:t>
        </w:r>
      </w:hyperlink>
      <w:r>
        <w:t xml:space="preserve"> </w:t>
      </w:r>
      <w:r>
        <w:t xml:space="preserve">relies heavily on stock options and Restricted Stock Units (RSUs) as part of employee compensation. Managing these assets requires sophisticated accounting knowledge regarding fair value measurements, expensing schedules, and complex tax implications upon vesting and exercise. An</w:t>
      </w:r>
      <w:r>
        <w:t xml:space="preserve"> </w:t>
      </w:r>
      <w:r>
        <w:rPr>
          <w:bCs/>
          <w:b/>
        </w:rPr>
        <w:t xml:space="preserve">Accountant</w:t>
      </w:r>
      <w:r>
        <w:t xml:space="preserve"> </w:t>
      </w:r>
      <w:r>
        <w:t xml:space="preserve">must ensure that the company’s financial statements accurately reflect these liabilities while advising HR departments on the long-term financial health of equity pools.</w:t>
      </w:r>
    </w:p>
    <w:bookmarkEnd w:id="22"/>
    <w:bookmarkStart w:id="25" w:name="the-case-scenario-technova-solutions"/>
    <w:p>
      <w:pPr>
        <w:pStyle w:val="Heading2"/>
      </w:pPr>
      <w:r>
        <w:t xml:space="preserve">The Case Scenario: "TechNova Solutions"</w:t>
      </w:r>
    </w:p>
    <w:p>
      <w:pPr>
        <w:pStyle w:val="FirstParagraph"/>
      </w:pPr>
      <w:r>
        <w:t xml:space="preserve">To illustrate these challenges, we examine a hypothetical mid-sized software firm,</w:t>
      </w:r>
      <w:r>
        <w:t xml:space="preserve"> </w:t>
      </w:r>
      <w:r>
        <w:rPr>
          <w:iCs/>
          <w:i/>
        </w:rPr>
        <w:t xml:space="preserve">TechNova Solutions</w:t>
      </w:r>
      <w:r>
        <w:t xml:space="preserve">, headquartered in the heart of</w:t>
      </w:r>
    </w:p>
    <w:p>
      <w:pPr>
        <w:pStyle w:val="BodyText"/>
      </w:pPr>
      <w:r>
        <w:t xml:space="preserve">United States San Francisco. As TechNova prepared for its Series B funding round, it faced several critical accounting hurdles that required immediate professional intervention.</w:t>
      </w:r>
    </w:p>
    <w:bookmarkStart w:id="23" w:name="Xff650fa21ee511912e3c7d58458c1a73f793b95"/>
    <w:p>
      <w:pPr>
        <w:pStyle w:val="Heading3"/>
      </w:pPr>
      <w:r>
        <w:t xml:space="preserve">The Challenge: Compliance and Investor Confidence</w:t>
      </w:r>
    </w:p>
    <w:p>
      <w:pPr>
        <w:pStyle w:val="FirstParagraph"/>
      </w:pPr>
      <w:r>
        <w:t xml:space="preserve">TechNova had experienced rapid growth, expanding its workforce by 40% in one year. Their existing internal financial tracking was disjointed, relying on spreadsheets rather than integrated Enterprise Resource Planning (ERP) systems. Potential investors from</w:t>
      </w:r>
      <w:r>
        <w:t xml:space="preserve"> </w:t>
      </w:r>
      <w:hyperlink w:anchor="Xa39a3ee5e6b4b0d3255bfef95601890afd80709">
        <w:r>
          <w:rPr>
            <w:rStyle w:val="Hyperlink"/>
          </w:rPr>
          <w:t xml:space="preserve">United States San Francisco</w:t>
        </w:r>
      </w:hyperlink>
      <w:r>
        <w:t xml:space="preserve">-based venture capital firms expressed concerns regarding the accuracy of their revenue recognition policies and the proper classification of research and development (R&amp;D) expenditures.</w:t>
      </w:r>
    </w:p>
    <w:p>
      <w:pPr>
        <w:pStyle w:val="BodyText"/>
      </w:pPr>
      <w:r>
        <w:t xml:space="preserve">The primary issues included:</w:t>
      </w:r>
    </w:p>
    <w:p>
      <w:pPr>
        <w:numPr>
          <w:ilvl w:val="0"/>
          <w:numId w:val="1001"/>
        </w:numPr>
        <w:pStyle w:val="Compact"/>
      </w:pPr>
      <w:r>
        <w:t xml:space="preserve">Inconsistent application of ASC 606 (Revenue from Contracts with Customers).</w:t>
      </w:r>
    </w:p>
    <w:p>
      <w:pPr>
        <w:numPr>
          <w:ilvl w:val="0"/>
          <w:numId w:val="1001"/>
        </w:numPr>
        <w:pStyle w:val="Compact"/>
      </w:pPr>
      <w:r>
        <w:t xml:space="preserve">Lack of documentation for California’s State R&amp;D Tax Credit eligibility.</w:t>
      </w:r>
    </w:p>
    <w:p>
      <w:pPr>
        <w:numPr>
          <w:ilvl w:val="0"/>
          <w:numId w:val="1001"/>
        </w:numPr>
        <w:pStyle w:val="Compact"/>
      </w:pPr>
      <w:r>
        <w:t xml:space="preserve">Poorly managed payroll taxes due to rapid hiring and remote work expansion across state lines.</w:t>
      </w:r>
    </w:p>
    <w:bookmarkEnd w:id="23"/>
    <w:bookmarkStart w:id="24" w:name="the-intervention-by-the-accountant"/>
    <w:p>
      <w:pPr>
        <w:pStyle w:val="Heading3"/>
      </w:pPr>
      <w:r>
        <w:t xml:space="preserve">The Intervention by the Accountant</w:t>
      </w:r>
    </w:p>
    <w:p>
      <w:pPr>
        <w:pStyle w:val="FirstParagraph"/>
      </w:pPr>
      <w:r>
        <w:t xml:space="preserve">TechNova engaged a specialized local</w:t>
      </w:r>
      <w:r>
        <w:t xml:space="preserve"> </w:t>
      </w:r>
      <w:r>
        <w:rPr>
          <w:bCs/>
          <w:b/>
        </w:rPr>
        <w:t xml:space="preserve">Accountant</w:t>
      </w:r>
      <w:r>
        <w:t xml:space="preserve">United States San Francisco. The engagement proceeded in three phases:</w:t>
      </w:r>
    </w:p>
    <w:p>
      <w:pPr>
        <w:pStyle w:val="BodyText"/>
      </w:pPr>
      <w:r>
        <w:rPr>
          <w:bCs/>
          <w:b/>
        </w:rPr>
        <w:t xml:space="preserve">Phase 1: Forensic Audit and Compliance Cleanup</w:t>
      </w:r>
      <w:r>
        <w:br/>
      </w:r>
      <w:r>
        <w:t xml:space="preserve">The</w:t>
      </w:r>
      <w:r>
        <w:t xml:space="preserve"> </w:t>
      </w:r>
      <w:r>
        <w:rPr>
          <w:iCs/>
          <w:i/>
        </w:rPr>
        <w:t xml:space="preserve">Accountant</w:t>
      </w:r>
    </w:p>
    <w:p>
      <w:pPr>
        <w:pStyle w:val="BodyText"/>
      </w:pPr>
      <w:r>
        <w:rPr>
          <w:bCs/>
          <w:b/>
        </w:rPr>
        <w:t xml:space="preserve">Phase 2: Localization of Tax Strategy</w:t>
      </w:r>
      <w:r>
        <w:br/>
      </w:r>
      <w:r>
        <w:t xml:space="preserve">Leveraging their knowledge of local laws, the</w:t>
      </w:r>
      <w:r>
        <w:t xml:space="preserve"> </w:t>
      </w:r>
      <w:r>
        <w:rPr>
          <w:iCs/>
          <w:i/>
        </w:rPr>
        <w:t xml:space="preserve">Accountant</w:t>
      </w:r>
      <w:r>
        <w:t xml:space="preserve">United States San Francisco. By restructuring how engineering hours were logged and documented, the firm qualified for substantial tax refunds. This not only improved cash flow but also demonstrated to investors that management was proactive about fiscal efficiency.</w:t>
      </w:r>
    </w:p>
    <w:p>
      <w:pPr>
        <w:pStyle w:val="BodyText"/>
      </w:pPr>
      <w:r>
        <w:rPr>
          <w:bCs/>
          <w:b/>
        </w:rPr>
        <w:t xml:space="preserve">Phase 3: Implementation of Scalable Systems</w:t>
      </w:r>
      <w:r>
        <w:br/>
      </w:r>
      <w:r>
        <w:t xml:space="preserve">To prevent future issues, the</w:t>
      </w:r>
      <w:r>
        <w:t xml:space="preserve"> </w:t>
      </w:r>
      <w:r>
        <w:rPr>
          <w:iCs/>
          <w:i/>
        </w:rPr>
        <w:t xml:space="preserve">Accountant</w:t>
      </w:r>
    </w:p>
    <w:bookmarkEnd w:id="24"/>
    <w:bookmarkEnd w:id="25"/>
    <w:bookmarkStart w:id="26" w:name="the-outcome"/>
    <w:p>
      <w:pPr>
        <w:pStyle w:val="Heading2"/>
      </w:pPr>
      <w:r>
        <w:t xml:space="preserve">The Outcome</w:t>
      </w:r>
    </w:p>
    <w:p>
      <w:pPr>
        <w:pStyle w:val="FirstParagraph"/>
      </w:pPr>
      <w:r>
        <w:t xml:space="preserve">The strategic intervention by the</w:t>
      </w:r>
      <w:r>
        <w:t xml:space="preserve"> </w:t>
      </w:r>
      <w:r>
        <w:rPr>
          <w:bCs/>
          <w:b/>
        </w:rPr>
        <w:t xml:space="preserve">Accountant</w:t>
      </w:r>
      <w:r>
        <w:t xml:space="preserve"> </w:t>
      </w:r>
      <w:r>
        <w:t xml:space="preserve">yielded immediate and long-term benefits for TechNova. Within six months, the company successfully closed its Series B funding round, citing robust financial hygiene as a key factor in investor confidence. Furthermore, the back-taxed incentives provided enough capital to fund two new product launches.</w:t>
      </w:r>
    </w:p>
    <w:p>
      <w:pPr>
        <w:pStyle w:val="BodyText"/>
      </w:pPr>
      <w:r>
        <w:t xml:space="preserve">This case study underscores that in</w:t>
      </w:r>
      <w:r>
        <w:t xml:space="preserve"> </w:t>
      </w:r>
      <w:hyperlink w:anchor="Xa39a3ee5e6b4b0d3255bfef95601890afd80709">
        <w:r>
          <w:rPr>
            <w:rStyle w:val="Hyperlink"/>
          </w:rPr>
          <w:t xml:space="preserve">United States San Francisco</w:t>
        </w:r>
      </w:hyperlink>
      <w:r>
        <w:t xml:space="preserve">, an</w:t>
      </w:r>
      <w:r>
        <w:t xml:space="preserve"> </w:t>
      </w:r>
      <w:r>
        <w:rPr>
          <w:bCs/>
          <w:b/>
        </w:rPr>
        <w:t xml:space="preserve">Accountant</w:t>
      </w:r>
      <w:r>
        <w:t xml:space="preserve"> </w:t>
      </w:r>
      <w:r>
        <w:t xml:space="preserve">is not merely a compliance officer but a vital strategic partner. The ability to navigate local tax laws, manage complex equity structures, and implement scalable financial systems is what separates thriving tech companies from those that stall.</w:t>
      </w:r>
    </w:p>
    <w:bookmarkEnd w:id="26"/>
    <w:bookmarkStart w:id="27" w:name="conclusion-and-recommendations"/>
    <w:p>
      <w:pPr>
        <w:pStyle w:val="Heading2"/>
      </w:pPr>
      <w:r>
        <w:t xml:space="preserve">Conclusion and Recommendations</w:t>
      </w:r>
    </w:p>
    <w:p>
      <w:pPr>
        <w:pStyle w:val="FirstParagraph"/>
      </w:pPr>
      <w:r>
        <w:t xml:space="preserve">The case of TechNova Solutions highlights the indispensable role of specialized accounting expertise in</w:t>
      </w:r>
      <w:r>
        <w:t xml:space="preserve"> </w:t>
      </w:r>
      <w:hyperlink w:anchor="Xa39a3ee5e6b4b0d3255bfef95601890afd80709">
        <w:r>
          <w:rPr>
            <w:rStyle w:val="Hyperlink"/>
          </w:rPr>
          <w:t xml:space="preserve">United States San Francisco</w:t>
        </w:r>
      </w:hyperlink>
      <w:r>
        <w:t xml:space="preserve">. As the local economy continues to evolve with new technologies and regulatory changes, businesses must prioritize hiring accountants who possess deep regional knowledge.</w:t>
      </w:r>
    </w:p>
    <w:p>
      <w:pPr>
        <w:pStyle w:val="BodyText"/>
      </w:pPr>
      <w:r>
        <w:rPr>
          <w:bCs/>
          <w:b/>
        </w:rPr>
        <w:t xml:space="preserve">Key Takeaways for Businesses:</w:t>
      </w:r>
    </w:p>
    <w:p>
      <w:pPr>
        <w:numPr>
          <w:ilvl w:val="0"/>
          <w:numId w:val="1002"/>
        </w:numPr>
        <w:pStyle w:val="Compact"/>
      </w:pPr>
      <w:r>
        <w:rPr>
          <w:bCs/>
          <w:b/>
        </w:rPr>
        <w:t xml:space="preserve">Hire Locally Specialized Professionals:</w:t>
      </w:r>
      <w:r>
        <w:t xml:space="preserve">A generalist accountant may miss critical local incentives in</w:t>
      </w:r>
      <w:r>
        <w:t xml:space="preserve"> </w:t>
      </w:r>
      <w:hyperlink w:anchor="Xa39a3ee5e6b4b0d3255bfef95601890afd80709">
        <w:r>
          <w:rPr>
            <w:rStyle w:val="Hyperlink"/>
          </w:rPr>
          <w:t xml:space="preserve">United States San Francisco</w:t>
        </w:r>
      </w:hyperlink>
      <w:r>
        <w:t xml:space="preserve">.</w:t>
      </w:r>
    </w:p>
    <w:p>
      <w:pPr>
        <w:numPr>
          <w:ilvl w:val="0"/>
          <w:numId w:val="1002"/>
        </w:numPr>
        <w:pStyle w:val="Compact"/>
      </w:pPr>
      <w:r>
        <w:rPr>
          <w:bCs/>
          <w:b/>
        </w:rPr>
        <w:t xml:space="preserve">Prioritize Compliance Early:</w:t>
      </w:r>
      <w:r>
        <w:t xml:space="preserve">Addressing revenue recognition and R&amp;D documentation before funding rounds prevents valuation discounts.</w:t>
      </w:r>
    </w:p>
    <w:p>
      <w:pPr>
        <w:numPr>
          <w:ilvl w:val="0"/>
          <w:numId w:val="1002"/>
        </w:numPr>
        <w:pStyle w:val="Compact"/>
      </w:pPr>
      <w:r>
        <w:rPr>
          <w:bCs/>
          <w:b/>
        </w:rPr>
        <w:t xml:space="preserve">Leverage Technology:</w:t>
      </w:r>
      <w:r>
        <w:t xml:space="preserve">Invest in accounting infrastructure that supports multi-location payroll and automated tax reporting.</w:t>
      </w:r>
    </w:p>
    <w:p>
      <w:pPr>
        <w:pStyle w:val="FirstParagraph"/>
      </w:pPr>
      <w:r>
        <w:t xml:space="preserve">In conclusion, the synergy between a skilled</w:t>
      </w:r>
      <w:r>
        <w:t xml:space="preserve"> </w:t>
      </w:r>
      <w:r>
        <w:rPr>
          <w:bCs/>
          <w:b/>
        </w:rPr>
        <w:t xml:space="preserve">Accountant</w:t>
      </w:r>
      <w:r>
        <w:t xml:space="preserve">, strategic business goals, and the unique economic environment of</w:t>
      </w:r>
      <w:r>
        <w:t xml:space="preserve"> </w:t>
      </w:r>
      <w:hyperlink w:anchor="Xa39a3ee5e6b4b0d3255bfef95601890afd80709">
        <w:r>
          <w:rPr>
            <w:rStyle w:val="Hyperlink"/>
          </w:rPr>
          <w:t xml:space="preserve">United States San Francisco</w:t>
        </w:r>
      </w:hyperlink>
      <w:r>
        <w:t xml:space="preserve"> </w:t>
      </w:r>
      <w:r>
        <w:t xml:space="preserve">creates a powerful framework for sustainable growth. Organizations that recognize this value proposition will find themselves better positioned to thrive in one of the world's most competitive markets.</w:t>
      </w:r>
    </w:p>
    <w:p>
      <w:pPr>
        <w:pStyle w:val="BodyText"/>
      </w:pPr>
      <w:r>
        <w:rPr>
          <w:bCs/>
          <w:b/>
        </w:rPr>
        <w:t xml:space="preserve">Note:</w:t>
      </w:r>
      <w:r>
        <w:t xml:space="preserve"> </w:t>
      </w:r>
      <w:r>
        <w:t xml:space="preserve">This document is for educational and illustrative purposes. Financial regulations in the</w:t>
      </w:r>
      <w:r>
        <w:t xml:space="preserve"> </w:t>
      </w:r>
      <w:hyperlink w:anchor="Xa39a3ee5e6b4b0d3255bfef95601890afd80709">
        <w:r>
          <w:rPr>
            <w:rStyle w:val="Hyperlink"/>
          </w:rPr>
          <w:t xml:space="preserve">United States San Francisco</w:t>
        </w:r>
      </w:hyperlink>
      <w:r>
        <w:t xml:space="preserve"> </w:t>
      </w:r>
      <w:r>
        <w:t xml:space="preserve">are subject to change. Always consult with a licensed certified public accountant (CPA) for specific advice regarding your financial situation.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2026-07-29T18:00:20Z</dcterms:created>
  <dcterms:modified xsi:type="dcterms:W3CDTF">2026-07-29T18:00:20Z</dcterms:modified>
</cp:coreProperties>
</file>

<file path=docProps/custom.xml><?xml version="1.0" encoding="utf-8"?>
<Properties xmlns="http://schemas.openxmlformats.org/officeDocument/2006/custom-properties" xmlns:vt="http://schemas.openxmlformats.org/officeDocument/2006/docPropsVTypes"/>
</file>