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ee7f320561b9e1fbca4465c2b8aa58d5e93bb2"/>
    <w:p>
      <w:pPr>
        <w:pStyle w:val="Heading1"/>
      </w:pPr>
      <w:r>
        <w:t xml:space="preserve">CASE STUDY: Navigating Financial Complexity for an Accountant in Venezuela Caracas</w:t>
      </w:r>
    </w:p>
    <w:p>
      <w:pPr>
        <w:pStyle w:val="FirstParagraph"/>
      </w:pPr>
      <w:r>
        <w:rPr>
          <w:bCs/>
          <w:b/>
        </w:rPr>
        <w:t xml:space="preserve">Date:</w:t>
      </w:r>
      <w:r>
        <w:t xml:space="preserve"> </w:t>
      </w:r>
      <w:r>
        <w:t xml:space="preserve">October 2023</w:t>
      </w:r>
      <w:r>
        <w:br/>
      </w:r>
      <w:r>
        <w:rPr>
          <w:bCs/>
          <w:b/>
        </w:rPr>
        <w:t xml:space="preserve">Subject:</w:t>
      </w:r>
      <w:r>
        <w:t xml:space="preserve">The Strategic Role of the Accountant in the Bolivarian Republic of Venezuela, specifically within its capital, Caracas.</w:t>
      </w:r>
      <w:r>
        <w:br/>
      </w:r>
      <w:r>
        <w:rPr>
          <w:bCs/>
          <w:b/>
        </w:rPr>
        <w:t xml:space="preserve">Status:</w:t>
      </w:r>
      <w:r>
        <w:t xml:space="preserve">Analytical Review for Fiscal Compliance and Economic Stability.</w:t>
      </w:r>
    </w:p>
    <w:bookmarkStart w:id="20" w:name="executive-summary"/>
    <w:p>
      <w:pPr>
        <w:pStyle w:val="Heading2"/>
      </w:pPr>
      <w:r>
        <w:t xml:space="preserve">1. Executive Summary</w:t>
      </w:r>
    </w:p>
    <w:p>
      <w:pPr>
        <w:pStyle w:val="FirstParagraph"/>
      </w:pPr>
      <w:r>
        <w:t xml:space="preserve">The professional landscape for an Accountant in Venezuela has undergone a radical transformation over the last decade. While accounting principles remain rooted in international standards, the practical application of these principles within</w:t>
      </w:r>
      <w:r>
        <w:t xml:space="preserve"> </w:t>
      </w:r>
      <w:r>
        <w:rPr>
          <w:bCs/>
          <w:b/>
        </w:rPr>
        <w:t xml:space="preserve">Venezuela Caracas</w:t>
      </w:r>
      <w:r>
        <w:t xml:space="preserve"> </w:t>
      </w:r>
      <w:r>
        <w:t xml:space="preserve">requires a specialized skill set that goes beyond traditional bookkeeping. This case study explores how an accountant operating in this volatile economic environment must function not only as a financial recorder but also as a strategic advisor, regulatory navigator, and crisis manager. The primary objective is to analyze the unique challenges faced by the</w:t>
      </w:r>
      <w:r>
        <w:t xml:space="preserve"> </w:t>
      </w:r>
      <w:r>
        <w:rPr>
          <w:bCs/>
          <w:b/>
        </w:rPr>
        <w:t xml:space="preserve">Accountant</w:t>
      </w:r>
      <w:r>
        <w:t xml:space="preserve"> </w:t>
      </w:r>
      <w:r>
        <w:t xml:space="preserve">and demonstrate how these challenges have reshaped professional practice in one of Latin America's most complex cities.</w:t>
      </w:r>
    </w:p>
    <w:bookmarkEnd w:id="20"/>
    <w:bookmarkStart w:id="21" w:name="X4ef3fb5888ad26d9ff66d44824345987897d6f9"/>
    <w:p>
      <w:pPr>
        <w:pStyle w:val="Heading2"/>
      </w:pPr>
      <w:r>
        <w:t xml:space="preserve">2. Contextual Background: The Economic Reality of Venezuela Caracas</w:t>
      </w:r>
    </w:p>
    <w:p>
      <w:pPr>
        <w:pStyle w:val="FirstParagraph"/>
      </w:pPr>
      <w:r>
        <w:t xml:space="preserve">To understand the role of the accountant, one must first comprehend the environment in which they operate.</w:t>
      </w:r>
      <w:r>
        <w:t xml:space="preserve"> </w:t>
      </w:r>
      <w:r>
        <w:rPr>
          <w:bCs/>
          <w:b/>
        </w:rPr>
        <w:t xml:space="preserve">Venezuela Caracas</w:t>
      </w:r>
      <w:r>
        <w:t xml:space="preserve"> </w:t>
      </w:r>
      <w:r>
        <w:t xml:space="preserve">serves as the political and economic heart of a nation that has experienced hyperinflation, currency devaluation, and extensive regulatory changes. The capital city remains a hub for business activity despite these challenges, but it operates under a dual-currency reality involving the Bolívar (Bs.) and the US Dollar (USD), alongside various digital payment platforms.</w:t>
      </w:r>
      <w:r>
        <w:t xml:space="preserve"> </w:t>
      </w:r>
      <w:r>
        <w:t xml:space="preserve">For an</w:t>
      </w:r>
      <w:r>
        <w:t xml:space="preserve"> </w:t>
      </w:r>
      <w:r>
        <w:rPr>
          <w:bCs/>
          <w:b/>
        </w:rPr>
        <w:t xml:space="preserve">Accountant</w:t>
      </w:r>
      <w:r>
        <w:t xml:space="preserve">, this duality creates immediate complications regarding valuation, exchange rate consistency, and tax calculation. The National Service of Customs and Tax Administration (SENIAT) mandates specific procedures for reporting in bolívares, yet business transactions frequently occur in foreign currency to preserve value. This dissonance requires the accountant to maintain parallel ledgers or utilize complex conversion methodologies that comply with both local law and international financial reporting standards.</w:t>
      </w:r>
    </w:p>
    <w:bookmarkEnd w:id="21"/>
    <w:bookmarkStart w:id="22" w:name="the-evolving-role-of-the-accountant"/>
    <w:p>
      <w:pPr>
        <w:pStyle w:val="Heading2"/>
      </w:pPr>
      <w:r>
        <w:t xml:space="preserve">3. The Evolving Role of the Accountant</w:t>
      </w:r>
    </w:p>
    <w:p>
      <w:pPr>
        <w:pStyle w:val="FirstParagraph"/>
      </w:pPr>
      <w:r>
        <w:t xml:space="preserve">In stable economies, an accountant’s role is largely retrospective—recording past transactions to provide a snapshot of financial health. However, in</w:t>
      </w:r>
      <w:r>
        <w:t xml:space="preserve"> </w:t>
      </w:r>
      <w:r>
        <w:rPr>
          <w:bCs/>
          <w:b/>
        </w:rPr>
        <w:t xml:space="preserve">Venezuela Caracas</w:t>
      </w:r>
      <w:r>
        <w:t xml:space="preserve">, the role is prospective and defensive. The modern</w:t>
      </w:r>
      <w:r>
        <w:t xml:space="preserve"> </w:t>
      </w:r>
      <w:r>
        <w:rPr>
          <w:bCs/>
          <w:b/>
        </w:rPr>
        <w:t xml:space="preserve">Accountant</w:t>
      </w:r>
      <w:r>
        <w:t xml:space="preserve"> </w:t>
      </w:r>
      <w:r>
        <w:t xml:space="preserve">must engage in continuous monitoring of inflation rates (IPC - Índice de Precios al Consumidor) to adjust asset values on balance sheets accurately. Failure to do so results in significant tax liabilities, as tax bases are often calculated based on historical cost, which can be vastly different from current market value due to hyperinflation.</w:t>
      </w:r>
      <w:r>
        <w:t xml:space="preserve"> </w:t>
      </w:r>
      <w:r>
        <w:t xml:space="preserve">Furthermore, the accountant acts as a shield against regulatory penalties. The legal framework in Venezuela is frequently updated without notice. An</w:t>
      </w:r>
      <w:r>
        <w:t xml:space="preserve"> </w:t>
      </w:r>
      <w:r>
        <w:rPr>
          <w:bCs/>
          <w:b/>
        </w:rPr>
        <w:t xml:space="preserve">Accountant</w:t>
      </w:r>
      <w:r>
        <w:t xml:space="preserve"> </w:t>
      </w:r>
      <w:r>
        <w:t xml:space="preserve">must maintain direct communication with local tax authorities and stay abreast of Gacetas Oficiales (Official Gazettes) that dictate changes in withholding taxes, value-added tax (IVA) rates, and municipal licenses specific to the capital city.</w:t>
      </w:r>
    </w:p>
    <w:bookmarkEnd w:id="22"/>
    <w:bookmarkStart w:id="26" w:name="key-challenges-identified"/>
    <w:p>
      <w:pPr>
        <w:pStyle w:val="Heading2"/>
      </w:pPr>
      <w:r>
        <w:t xml:space="preserve">4. Key Challenges Identified</w:t>
      </w:r>
    </w:p>
    <w:p>
      <w:pPr>
        <w:pStyle w:val="FirstParagraph"/>
      </w:pPr>
      <w:r>
        <w:t xml:space="preserve">The case study identifies three primary pillars of difficulty for accountants in this region:</w:t>
      </w:r>
    </w:p>
    <w:bookmarkStart w:id="23" w:name="a.-hyperinflation-and-asset-revaluation"/>
    <w:p>
      <w:pPr>
        <w:pStyle w:val="Heading3"/>
      </w:pPr>
      <w:r>
        <w:t xml:space="preserve">A. Hyperinflation and Asset Revaluation</w:t>
      </w:r>
    </w:p>
    <w:p>
      <w:pPr>
        <w:pStyle w:val="FirstParagraph"/>
      </w:pPr>
      <w:r>
        <w:t xml:space="preserve">Accounting standards generally require assets to be held at historical cost. However, in an environment where prices can double monthly, historical cost becomes meaningless. The accountant must perform frequent revaluations of inventory and fixed assets to prevent the understatement of profits (or overstatement, depending on tax implications) due to inflationary adjustments. In</w:t>
      </w:r>
      <w:r>
        <w:t xml:space="preserve"> </w:t>
      </w:r>
      <w:r>
        <w:rPr>
          <w:bCs/>
          <w:b/>
        </w:rPr>
        <w:t xml:space="preserve">Venezuela Caracas</w:t>
      </w:r>
      <w:r>
        <w:t xml:space="preserve">, this process is labor-intensive and requires real-time data access, which can be disrupted by infrastructure failures such as power outages or internet blackouts.</w:t>
      </w:r>
    </w:p>
    <w:bookmarkEnd w:id="23"/>
    <w:bookmarkStart w:id="24" w:name="X981763072fa55da6cc94e6134abaa76343fc89c"/>
    <w:p>
      <w:pPr>
        <w:pStyle w:val="Heading3"/>
      </w:pPr>
      <w:r>
        <w:t xml:space="preserve">B. Regulatory Compliance and SENIAT Interactions</w:t>
      </w:r>
    </w:p>
    <w:p>
      <w:pPr>
        <w:pStyle w:val="FirstParagraph"/>
      </w:pPr>
      <w:r>
        <w:t xml:space="preserve">The tax authority in Venezuela, SENIAT, employs strict auditing mechanisms. Accountants must ensure that all invoices (Facturas) are generated through authorized electronic systems approved by the government. In</w:t>
      </w:r>
      <w:r>
        <w:t xml:space="preserve"> </w:t>
      </w:r>
      <w:r>
        <w:rPr>
          <w:bCs/>
          <w:b/>
        </w:rPr>
        <w:t xml:space="preserve">Venezuela Caracas</w:t>
      </w:r>
      <w:r>
        <w:t xml:space="preserve">, the digital infrastructure required for these transactions is often fragile. An</w:t>
      </w:r>
      <w:r>
        <w:t xml:space="preserve"> </w:t>
      </w:r>
      <w:r>
        <w:rPr>
          <w:bCs/>
          <w:b/>
        </w:rPr>
        <w:t xml:space="preserve">Accountant</w:t>
      </w:r>
      <w:r>
        <w:t xml:space="preserve"> </w:t>
      </w:r>
      <w:r>
        <w:t xml:space="preserve">must have backup protocols ready to ensure continuous compliance even when technical systems fail. Additionally, withholding tax (ISLR) calculations are complex due to varying rates for different types of services and payments, requiring meticulous attention to detail.</w:t>
      </w:r>
    </w:p>
    <w:bookmarkEnd w:id="24"/>
    <w:bookmarkStart w:id="25" w:name="Xfee237cdbabd9f2e179ea6c578d3e466d5f4800"/>
    <w:p>
      <w:pPr>
        <w:pStyle w:val="Heading3"/>
      </w:pPr>
      <w:r>
        <w:t xml:space="preserve">C. Foreign Exchange Control and Liquidity Management</w:t>
      </w:r>
    </w:p>
    <w:p>
      <w:pPr>
        <w:pStyle w:val="FirstParagraph"/>
      </w:pPr>
      <w:r>
        <w:t xml:space="preserve">Although official exchange controls have relaxed in recent years, the gap between the official rate (DICOM) and the parallel market rate creates arbitrage opportunities that also carry legal risks. The accountant must advise management on how to repatriate funds, manage international suppliers, and handle cross-border transactions without violating anti-money laundering (AML) regulations. In</w:t>
      </w:r>
      <w:r>
        <w:t xml:space="preserve"> </w:t>
      </w:r>
      <w:r>
        <w:rPr>
          <w:bCs/>
          <w:b/>
        </w:rPr>
        <w:t xml:space="preserve">Venezuela Caracas</w:t>
      </w:r>
      <w:r>
        <w:t xml:space="preserve">, banks are often cautious with USD accounts, forcing accountants to develop innovative liquidity management strategies involving digital wallets and crypto-assets for operational stability.</w:t>
      </w:r>
    </w:p>
    <w:bookmarkEnd w:id="25"/>
    <w:bookmarkEnd w:id="26"/>
    <w:bookmarkStart w:id="27" w:name="Xdb5fafe7c3c069bcf56cf9b6d031c5cf4020e26"/>
    <w:p>
      <w:pPr>
        <w:pStyle w:val="Heading2"/>
      </w:pPr>
      <w:r>
        <w:t xml:space="preserve">5. Strategic Recommendations for Accountants in this Region</w:t>
      </w:r>
    </w:p>
    <w:p>
      <w:pPr>
        <w:pStyle w:val="FirstParagraph"/>
      </w:pPr>
      <w:r>
        <w:t xml:space="preserve">Based on the analysis of the current situation in</w:t>
      </w:r>
      <w:r>
        <w:t xml:space="preserve"> </w:t>
      </w:r>
      <w:r>
        <w:rPr>
          <w:bCs/>
          <w:b/>
        </w:rPr>
        <w:t xml:space="preserve">Venezuela Caracas</w:t>
      </w:r>
      <w:r>
        <w:t xml:space="preserve">, several strategic recommendations emerge for practicing accountants:</w:t>
      </w:r>
      <w:r>
        <w:t xml:space="preserve"> </w:t>
      </w:r>
      <w:r>
        <w:t xml:space="preserve">1. **Technology Integration:** Implement robust accounting software that supports multi-currency and inflation-adjusted reporting automatically. Manual calculations are prone to error and cannot keep pace with rapid economic shifts.</w:t>
      </w:r>
      <w:r>
        <w:t xml:space="preserve"> </w:t>
      </w:r>
      <w:r>
        <w:t xml:space="preserve">2. **Continuous Professional Development:** The</w:t>
      </w:r>
      <w:r>
        <w:t xml:space="preserve"> </w:t>
      </w:r>
      <w:r>
        <w:rPr>
          <w:bCs/>
          <w:b/>
        </w:rPr>
        <w:t xml:space="preserve">Accountant</w:t>
      </w:r>
      <w:r>
        <w:t xml:space="preserve"> </w:t>
      </w:r>
      <w:r>
        <w:t xml:space="preserve">must commit to lifelong learning regarding local tax laws. Seminars, workshops, and legal consultations should be regular occurrences to ensure that compliance strategies are up-to-date.</w:t>
      </w:r>
      <w:r>
        <w:t xml:space="preserve"> </w:t>
      </w:r>
      <w:r>
        <w:t xml:space="preserve">3. **Diversification of Financial Instruments:** Accountants should guide their clients or employers toward diversified financial instruments that hedge against inflation risk, such as holding assets in stable foreign currencies or real estate where legally permissible.</w:t>
      </w:r>
      <w:r>
        <w:t xml:space="preserve"> </w:t>
      </w:r>
      <w:r>
        <w:t xml:space="preserve">4. **Strong Internal Controls:** Given the scarcity of resources and high pressure on employees, internal fraud becomes a significant risk. Strengthening internal controls is essential for protecting company assets in</w:t>
      </w:r>
      <w:r>
        <w:t xml:space="preserve"> </w:t>
      </w:r>
      <w:r>
        <w:rPr>
          <w:bCs/>
          <w:b/>
        </w:rPr>
        <w:t xml:space="preserve">Venezuela Caracas</w:t>
      </w:r>
      <w:r>
        <w:t xml:space="preserve">.</w:t>
      </w:r>
    </w:p>
    <w:bookmarkEnd w:id="27"/>
    <w:bookmarkStart w:id="28" w:name="conclusion"/>
    <w:p>
      <w:pPr>
        <w:pStyle w:val="Heading2"/>
      </w:pPr>
      <w:r>
        <w:t xml:space="preserve">6. Conclusion</w:t>
      </w:r>
    </w:p>
    <w:p>
      <w:pPr>
        <w:pStyle w:val="FirstParagraph"/>
      </w:pPr>
      <w:r>
        <w:t xml:space="preserve">The profession of an</w:t>
      </w:r>
      <w:r>
        <w:t xml:space="preserve"> </w:t>
      </w:r>
      <w:r>
        <w:rPr>
          <w:bCs/>
          <w:b/>
        </w:rPr>
        <w:t xml:space="preserve">Accountant</w:t>
      </w:r>
      <w:r>
        <w:t xml:space="preserve"> </w:t>
      </w:r>
      <w:r>
        <w:t xml:space="preserve">in this context transcends traditional boundaries. It demands resilience, technical expertise, and strategic foresight. Operating in</w:t>
      </w:r>
      <w:r>
        <w:t xml:space="preserve"> </w:t>
      </w:r>
      <w:r>
        <w:rPr>
          <w:bCs/>
          <w:b/>
        </w:rPr>
        <w:t xml:space="preserve">Venezuela Caracas</w:t>
      </w:r>
      <w:r>
        <w:t xml:space="preserve">, one must navigate a labyrinth of economic instability, regulatory complexity, and infrastructural challenges. This case study highlights that the accountant is no longer just a number-cruncher but a critical stakeholder in the survival and continuity of businesses.</w:t>
      </w:r>
      <w:r>
        <w:t xml:space="preserve"> </w:t>
      </w:r>
      <w:r>
        <w:t xml:space="preserve">By adapting to the unique pressures of this region, accountants provide essential value through compliance assurance, financial clarity, and strategic guidance. The experience gained by an</w:t>
      </w:r>
      <w:r>
        <w:t xml:space="preserve"> </w:t>
      </w:r>
      <w:r>
        <w:rPr>
          <w:bCs/>
          <w:b/>
        </w:rPr>
        <w:t xml:space="preserve">Accountant</w:t>
      </w:r>
      <w:r>
        <w:t xml:space="preserve"> </w:t>
      </w:r>
      <w:r>
        <w:t xml:space="preserve">in</w:t>
      </w:r>
      <w:r>
        <w:t xml:space="preserve"> </w:t>
      </w:r>
      <w:r>
        <w:rPr>
          <w:bCs/>
          <w:b/>
        </w:rPr>
        <w:t xml:space="preserve">Venezuela Caracas</w:t>
      </w:r>
      <w:r>
        <w:t xml:space="preserve"> </w:t>
      </w:r>
      <w:r>
        <w:t xml:space="preserve">is unparalleled in its intensity and depth of problem-solving capabilities. As the economic landscape potentially stabilizes or evolves further into new directions, the foundational skills developed during this period will remain highly valuable globally, representing a unique intersection of technical accounting knowledge and crisis management expertise.</w:t>
      </w:r>
      <w:r>
        <w:br/>
      </w: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2026-07-29T08:53:36Z</dcterms:created>
  <dcterms:modified xsi:type="dcterms:W3CDTF">2026-07-29T08:53:36Z</dcterms:modified>
</cp:coreProperties>
</file>

<file path=docProps/custom.xml><?xml version="1.0" encoding="utf-8"?>
<Properties xmlns="http://schemas.openxmlformats.org/officeDocument/2006/custom-properties" xmlns:vt="http://schemas.openxmlformats.org/officeDocument/2006/docPropsVTypes"/>
</file>