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Actor</w:t>
      </w:r>
      <w:r>
        <w:t xml:space="preserve"> </w:t>
      </w:r>
      <w:r>
        <w:t xml:space="preserve">Engagement</w:t>
      </w:r>
      <w:r>
        <w:t xml:space="preserve"> </w:t>
      </w:r>
      <w:r>
        <w:t xml:space="preserve">in</w:t>
      </w:r>
      <w:r>
        <w:t xml:space="preserve"> </w:t>
      </w:r>
      <w:r>
        <w:t xml:space="preserve">Iraq</w:t>
      </w:r>
      <w:r>
        <w:t xml:space="preserve"> </w:t>
      </w:r>
      <w:r>
        <w:t xml:space="preserve">Baghdad</w:t>
      </w:r>
    </w:p>
    <w:bookmarkStart w:id="29" w:name="Xc5a396b38d4543c4f6d2781551af0192bce07b7"/>
    <w:p>
      <w:pPr>
        <w:pStyle w:val="Heading1"/>
      </w:pPr>
      <w:r>
        <w:t xml:space="preserve">Case Study: Actor Engagement in Iraq Baghdad</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Comprehensive Analysis</w:t>
      </w:r>
    </w:p>
    <w:bookmarkStart w:id="20" w:name="X133c6e586f0746699e73bc11472782b4ac1d1be"/>
    <w:p>
      <w:pPr>
        <w:pStyle w:val="Heading2"/>
      </w:pPr>
      <w:r>
        <w:t xml:space="preserve">I. Executive Summary and Contextual Overview of Iraq Baghdad</w:t>
      </w:r>
    </w:p>
    <w:p>
      <w:pPr>
        <w:pStyle w:val="FirstParagraph"/>
      </w:pPr>
      <w:r>
        <w:t xml:space="preserve">This</w:t>
      </w:r>
      <w:r>
        <w:t xml:space="preserve"> </w:t>
      </w:r>
      <w:r>
        <w:rPr>
          <w:bCs/>
          <w:b/>
        </w:rPr>
        <w:t xml:space="preserve">Case Study</w:t>
      </w:r>
      <w:r>
        <w:t xml:space="preserve">, titled "Actor Engagement in Iraq Baghdad," provides a granular examination of the operational, social, and political dynamics defining the current landscape of the Iraqi capital. To understand any intervention or interaction within this region, one must first acknowledge that</w:t>
      </w:r>
      <w:r>
        <w:t xml:space="preserve"> </w:t>
      </w:r>
      <w:r>
        <w:rPr>
          <w:bCs/>
          <w:b/>
        </w:rPr>
        <w:t xml:space="preserve">Iraq Baghdad</w:t>
      </w:r>
      <w:r>
        <w:t xml:space="preserve"> </w:t>
      </w:r>
      <w:r>
        <w:t xml:space="preserve">is not merely a geographic coordinate but a complex ecosystem characterized by rapid urbanization, lingering post-conflict recovery efforts, and a vibrant yet fragile civil society. The city serves as the political and economic heart of the nation, where federal authorities converge with local municipal governance and diverse community groups.</w:t>
      </w:r>
    </w:p>
    <w:p>
      <w:pPr>
        <w:pStyle w:val="BodyText"/>
      </w:pPr>
      <w:r>
        <w:t xml:space="preserve">The primary objective of this</w:t>
      </w:r>
      <w:r>
        <w:t xml:space="preserve"> </w:t>
      </w:r>
      <w:r>
        <w:rPr>
          <w:bCs/>
          <w:b/>
        </w:rPr>
        <w:t xml:space="preserve">Case Study</w:t>
      </w:r>
      <w:r>
        <w:t xml:space="preserve"> </w:t>
      </w:r>
      <w:r>
        <w:t xml:space="preserve">is to map the influential "Actors" operating within this space. In development and political science terminology, an "Actor" refers to any individual, group, organization, or entity that has a stake in or the power to influence outcomes in a specific context. In</w:t>
      </w:r>
      <w:r>
        <w:t xml:space="preserve"> </w:t>
      </w:r>
      <w:r>
        <w:rPr>
          <w:bCs/>
          <w:b/>
        </w:rPr>
        <w:t xml:space="preserve">Iraq Baghdad</w:t>
      </w:r>
      <w:r>
        <w:t xml:space="preserve">, these actors range from high-level government ministries and international diplomatic missions to local neighborhood councils (</w:t>
      </w:r>
      <w:r>
        <w:rPr>
          <w:iCs/>
          <w:i/>
        </w:rPr>
        <w:t xml:space="preserve">Hayy</w:t>
      </w:r>
      <w:r>
        <w:t xml:space="preserve">) and emerging youth-led non-governmental organizations (NGOs). Understanding the interplay between these diverse entities is crucial for any stakeholder seeking to implement policy, deliver aid, or foster economic growth.</w:t>
      </w:r>
    </w:p>
    <w:bookmarkEnd w:id="20"/>
    <w:bookmarkStart w:id="25" w:name="X40725da016cb9154fa25853fcc9c07e1e9e393f"/>
    <w:p>
      <w:pPr>
        <w:pStyle w:val="Heading2"/>
      </w:pPr>
      <w:r>
        <w:t xml:space="preserve">II. Defining the Actor Ecosystem in Iraq Baghdad</w:t>
      </w:r>
    </w:p>
    <w:p>
      <w:pPr>
        <w:pStyle w:val="FirstParagraph"/>
      </w:pPr>
      <w:r>
        <w:t xml:space="preserve">The concept of the "Actor" in this</w:t>
      </w:r>
      <w:r>
        <w:t xml:space="preserve"> </w:t>
      </w:r>
      <w:r>
        <w:rPr>
          <w:bCs/>
          <w:b/>
        </w:rPr>
        <w:t xml:space="preserve">Case Study</w:t>
      </w:r>
      <w:r>
        <w:t xml:space="preserve"> </w:t>
      </w:r>
      <w:r>
        <w:t xml:space="preserve">is categorized into four distinct sectors: State Actors, International Actors, Civil Society Actors, and Private Sector/Community Leaders. Each category plays a pivotal role in the stability and development of</w:t>
      </w:r>
      <w:r>
        <w:t xml:space="preserve"> </w:t>
      </w:r>
      <w:r>
        <w:rPr>
          <w:bCs/>
          <w:b/>
        </w:rPr>
        <w:t xml:space="preserve">Iraq Baghdad</w:t>
      </w:r>
      <w:r>
        <w:t xml:space="preserve">.</w:t>
      </w:r>
    </w:p>
    <w:bookmarkStart w:id="21" w:name="a.-state-actors"/>
    <w:p>
      <w:pPr>
        <w:pStyle w:val="Heading3"/>
      </w:pPr>
      <w:r>
        <w:t xml:space="preserve">A. State Actors</w:t>
      </w:r>
    </w:p>
    <w:p>
      <w:pPr>
        <w:pStyle w:val="FirstParagraph"/>
      </w:pPr>
      <w:r>
        <w:t xml:space="preserve">The most prominent actors in</w:t>
      </w:r>
      <w:r>
        <w:t xml:space="preserve"> </w:t>
      </w:r>
      <w:r>
        <w:rPr>
          <w:bCs/>
          <w:b/>
        </w:rPr>
        <w:t xml:space="preserve">Iraq Baghdad</w:t>
      </w:r>
      <w:r>
        <w:t xml:space="preserve"> </w:t>
      </w:r>
      <w:r>
        <w:t xml:space="preserve">are the governmental bodies responsible for urban planning, security, and public service delivery. This includes the Baghdad Municipality, which manages infrastructure projects ranging from waste management to park development. However, power is often decentralized or shared with provincial councils and federal ministries based in the capital. These state actors hold legal authority but frequently face challenges regarding resource allocation and bureaucratic efficiency.</w:t>
      </w:r>
    </w:p>
    <w:bookmarkEnd w:id="21"/>
    <w:bookmarkStart w:id="22" w:name="b.-international-actors"/>
    <w:p>
      <w:pPr>
        <w:pStyle w:val="Heading3"/>
      </w:pPr>
      <w:r>
        <w:t xml:space="preserve">B. International Actors</w:t>
      </w:r>
    </w:p>
    <w:p>
      <w:pPr>
        <w:pStyle w:val="FirstParagraph"/>
      </w:pPr>
      <w:r>
        <w:t xml:space="preserve">Diplomatic missions from countries such as the United States, European Union member states, and regional powers like Iran remain significant actors in</w:t>
      </w:r>
      <w:r>
        <w:t xml:space="preserve"> </w:t>
      </w:r>
      <w:r>
        <w:rPr>
          <w:bCs/>
          <w:b/>
        </w:rPr>
        <w:t xml:space="preserve">Iraq Baghdad</w:t>
      </w:r>
      <w:r>
        <w:t xml:space="preserve">. Furthermore, international organizations such as the United Nations Development Programme (UNDP), USAID, and various humanitarian NGOs operate extensively here. These actors bring funding, technical expertise, and international advocacy platforms. Their influence is often felt through conditional aid packages that require alignment with specific governance or human rights standards.</w:t>
      </w:r>
    </w:p>
    <w:bookmarkEnd w:id="22"/>
    <w:bookmarkStart w:id="23" w:name="c.-civil-society-and-community-actors"/>
    <w:p>
      <w:pPr>
        <w:pStyle w:val="Heading3"/>
      </w:pPr>
      <w:r>
        <w:t xml:space="preserve">C. Civil Society and Community Actors</w:t>
      </w:r>
    </w:p>
    <w:p>
      <w:pPr>
        <w:pStyle w:val="FirstParagraph"/>
      </w:pPr>
      <w:r>
        <w:t xml:space="preserve">In recent years, the role of civil society actors in</w:t>
      </w:r>
      <w:r>
        <w:t xml:space="preserve"> </w:t>
      </w:r>
      <w:r>
        <w:rPr>
          <w:bCs/>
          <w:b/>
        </w:rPr>
        <w:t xml:space="preserve">Iraq Baghdad</w:t>
      </w:r>
      <w:r>
        <w:t xml:space="preserve"> </w:t>
      </w:r>
      <w:r>
        <w:t xml:space="preserve">has expanded dramatically, largely spurred by the Tishreen protests of 2019. Youth-led groups, women’s rights organizations, and environmental advocates have emerged as critical voices demanding accountability and transparency. These actors often operate outside formal state structures, utilizing social media to mobilize public opinion and pressure both local and national decision-makers.</w:t>
      </w:r>
    </w:p>
    <w:bookmarkEnd w:id="23"/>
    <w:bookmarkStart w:id="24" w:name="d.-private-sector-and-local-influencers"/>
    <w:p>
      <w:pPr>
        <w:pStyle w:val="Heading3"/>
      </w:pPr>
      <w:r>
        <w:t xml:space="preserve">D. Private Sector and Local Influencers</w:t>
      </w:r>
    </w:p>
    <w:p>
      <w:pPr>
        <w:pStyle w:val="FirstParagraph"/>
      </w:pPr>
      <w:r>
        <w:t xml:space="preserve">The private sector in</w:t>
      </w:r>
      <w:r>
        <w:t xml:space="preserve"> </w:t>
      </w:r>
      <w:r>
        <w:rPr>
          <w:bCs/>
          <w:b/>
        </w:rPr>
        <w:t xml:space="preserve">Iraq Baghdad</w:t>
      </w:r>
      <w:r>
        <w:t xml:space="preserve">, including major construction firms, tech startups, and media conglomerates, exerts considerable soft power. Additionally, tribal leaders and religious figures continue to act as traditional actors who mediate disputes and influence community behavior. Their endorsement or opposition can make or break local initiatives.</w:t>
      </w:r>
    </w:p>
    <w:bookmarkEnd w:id="24"/>
    <w:bookmarkEnd w:id="25"/>
    <w:bookmarkStart w:id="26" w:name="Xbf63555feb87a4e77cd55f3eda4f9235604b192"/>
    <w:p>
      <w:pPr>
        <w:pStyle w:val="Heading2"/>
      </w:pPr>
      <w:r>
        <w:t xml:space="preserve">III. Operational Challenges Faced by Actors in Iraq Baghdad</w:t>
      </w:r>
    </w:p>
    <w:p>
      <w:pPr>
        <w:pStyle w:val="FirstParagraph"/>
      </w:pPr>
      <w:r>
        <w:t xml:space="preserve">This</w:t>
      </w:r>
      <w:r>
        <w:t xml:space="preserve"> </w:t>
      </w:r>
      <w:r>
        <w:rPr>
          <w:bCs/>
          <w:b/>
        </w:rPr>
        <w:t xml:space="preserve">Case Study</w:t>
      </w:r>
      <w:r>
        <w:t xml:space="preserve">, focusing on the realities of</w:t>
      </w:r>
      <w:r>
        <w:t xml:space="preserve"> </w:t>
      </w:r>
      <w:r>
        <w:rPr>
          <w:bCs/>
          <w:b/>
        </w:rPr>
        <w:t xml:space="preserve">Iraq Baghdad</w:t>
      </w:r>
      <w:r>
        <w:t xml:space="preserve">, highlights several systemic challenges that affect all types of actors:</w:t>
      </w:r>
    </w:p>
    <w:p>
      <w:pPr>
        <w:numPr>
          <w:ilvl w:val="0"/>
          <w:numId w:val="1001"/>
        </w:numPr>
        <w:pStyle w:val="Compact"/>
      </w:pPr>
      <w:r>
        <w:rPr>
          <w:bCs/>
          <w:b/>
        </w:rPr>
        <w:t xml:space="preserve">Bureaucratic Fragmentation:</w:t>
      </w:r>
      <w:r>
        <w:t xml:space="preserve"> </w:t>
      </w:r>
      <w:r>
        <w:t xml:space="preserve">Overlapping jurisdictions between federal and local entities in</w:t>
      </w:r>
      <w:r>
        <w:t xml:space="preserve"> </w:t>
      </w:r>
      <w:r>
        <w:rPr>
          <w:iCs/>
          <w:i/>
        </w:rPr>
        <w:t xml:space="preserve">Iraq Baghdad</w:t>
      </w:r>
      <w:r>
        <w:t xml:space="preserve"> </w:t>
      </w:r>
      <w:r>
        <w:t xml:space="preserve">often lead to confusion regarding who has the authority to approve projects, causing delays and inefficiencies.</w:t>
      </w:r>
    </w:p>
    <w:p>
      <w:pPr>
        <w:numPr>
          <w:ilvl w:val="0"/>
          <w:numId w:val="1001"/>
        </w:numPr>
        <w:pStyle w:val="Compact"/>
      </w:pPr>
      <w:r>
        <w:rPr>
          <w:bCs/>
          <w:b/>
        </w:rPr>
        <w:t xml:space="preserve">Social Polarization:</w:t>
      </w:r>
      <w:r>
        <w:t xml:space="preserve"> </w:t>
      </w:r>
      <w:r>
        <w:t xml:space="preserve">Sectarian divides still impact how actors collaborate. Trust deficits between different community groups can hinder cooperative efforts, particularly when international or state actors are perceived as biased.</w:t>
      </w:r>
    </w:p>
    <w:p>
      <w:pPr>
        <w:numPr>
          <w:ilvl w:val="0"/>
          <w:numId w:val="1001"/>
        </w:numPr>
        <w:pStyle w:val="Compact"/>
      </w:pPr>
      <w:r>
        <w:rPr>
          <w:bCs/>
          <w:b/>
        </w:rPr>
        <w:t xml:space="preserve">Economic Instability:</w:t>
      </w:r>
      <w:r>
        <w:t xml:space="preserve"> </w:t>
      </w:r>
      <w:r>
        <w:t xml:space="preserve">Heavy reliance on oil revenues means that funding for development projects in</w:t>
      </w:r>
      <w:r>
        <w:t xml:space="preserve"> </w:t>
      </w:r>
      <w:r>
        <w:rPr>
          <w:iCs/>
          <w:i/>
        </w:rPr>
        <w:t xml:space="preserve">Iraq Baghdad</w:t>
      </w:r>
      <w:r>
        <w:t xml:space="preserve"> </w:t>
      </w:r>
      <w:r>
        <w:t xml:space="preserve">can fluctuate wildly based on global market prices, making long-term planning difficult for all actors involved.</w:t>
      </w:r>
    </w:p>
    <w:bookmarkEnd w:id="26"/>
    <w:bookmarkStart w:id="27" w:name="X430fd7a8dcae3c27f8e792591fe8c8bf8c35f0e"/>
    <w:p>
      <w:pPr>
        <w:pStyle w:val="Heading2"/>
      </w:pPr>
      <w:r>
        <w:t xml:space="preserve">IV. Strategic Implications and Recommendations</w:t>
      </w:r>
    </w:p>
    <w:p>
      <w:pPr>
        <w:pStyle w:val="FirstParagraph"/>
      </w:pPr>
      <w:r>
        <w:t xml:space="preserve">To navigate the complex actor landscape of</w:t>
      </w:r>
      <w:r>
        <w:t xml:space="preserve"> </w:t>
      </w:r>
      <w:r>
        <w:rPr>
          <w:bCs/>
          <w:b/>
        </w:rPr>
        <w:t xml:space="preserve">Iraq Baghdad</w:t>
      </w:r>
      <w:r>
        <w:t xml:space="preserve">, stakeholders must adopt an inclusive approach. This</w:t>
      </w:r>
      <w:r>
        <w:t xml:space="preserve"> </w:t>
      </w:r>
      <w:r>
        <w:rPr>
          <w:bCs/>
          <w:b/>
        </w:rPr>
        <w:t xml:space="preserve">Case Study</w:t>
      </w:r>
      <w:r>
        <w:t xml:space="preserve">, therefore, recommends:</w:t>
      </w:r>
    </w:p>
    <w:p>
      <w:pPr>
        <w:numPr>
          <w:ilvl w:val="0"/>
          <w:numId w:val="1002"/>
        </w:numPr>
        <w:pStyle w:val="Compact"/>
      </w:pPr>
      <w:r>
        <w:rPr>
          <w:bCs/>
          <w:b/>
        </w:rPr>
        <w:t xml:space="preserve">Multistakeholder Dialogues:</w:t>
      </w:r>
      <w:r>
        <w:t xml:space="preserve"> </w:t>
      </w:r>
      <w:r>
        <w:t xml:space="preserve">Establishing regular forums where state representatives, international partners, and civil society actors can meet in</w:t>
      </w:r>
      <w:r>
        <w:t xml:space="preserve"> </w:t>
      </w:r>
      <w:r>
        <w:rPr>
          <w:iCs/>
          <w:i/>
        </w:rPr>
        <w:t xml:space="preserve">Iraq Baghdad</w:t>
      </w:r>
      <w:r>
        <w:t xml:space="preserve"> </w:t>
      </w:r>
      <w:r>
        <w:t xml:space="preserve">to align goals.</w:t>
      </w:r>
    </w:p>
    <w:p>
      <w:pPr>
        <w:numPr>
          <w:ilvl w:val="0"/>
          <w:numId w:val="1002"/>
        </w:numPr>
        <w:pStyle w:val="Compact"/>
      </w:pPr>
      <w:r>
        <w:rPr>
          <w:bCs/>
          <w:b/>
        </w:rPr>
        <w:t xml:space="preserve">Digital Engagement:</w:t>
      </w:r>
      <w:r>
        <w:t xml:space="preserve">Leveraging technology to bypass bureaucratic bottlenecks and engage directly with the youth population in</w:t>
      </w:r>
      <w:r>
        <w:t xml:space="preserve"> </w:t>
      </w:r>
      <w:r>
        <w:rPr>
          <w:iCs/>
          <w:i/>
        </w:rPr>
        <w:t xml:space="preserve">Iraq Baghdad</w:t>
      </w:r>
      <w:r>
        <w:t xml:space="preserve">.</w:t>
      </w:r>
    </w:p>
    <w:p>
      <w:pPr>
        <w:numPr>
          <w:ilvl w:val="0"/>
          <w:numId w:val="1002"/>
        </w:numPr>
        <w:pStyle w:val="Compact"/>
      </w:pPr>
      <w:r>
        <w:rPr>
          <w:bCs/>
          <w:b/>
        </w:rPr>
        <w:t xml:space="preserve">Local Capacity Building:</w:t>
      </w:r>
      <w:r>
        <w:t xml:space="preserve">Focusing on empowering local community actors rather than relying solely on international experts, ensuring sustainability after external support concludes.</w:t>
      </w:r>
    </w:p>
    <w:bookmarkEnd w:id="27"/>
    <w:bookmarkStart w:id="28" w:name="Xf1abb5315af1eca8a6bf3f9860568a2b244e68e"/>
    <w:p>
      <w:pPr>
        <w:pStyle w:val="Heading2"/>
      </w:pPr>
      <w:r>
        <w:t xml:space="preserve">V. Conclusion of the Case Study on Iraq Baghdad Actors</w:t>
      </w:r>
    </w:p>
    <w:p>
      <w:pPr>
        <w:pStyle w:val="FirstParagraph"/>
      </w:pPr>
      <w:r>
        <w:t xml:space="preserve">In conclusion, this</w:t>
      </w:r>
      <w:r>
        <w:t xml:space="preserve"> </w:t>
      </w:r>
      <w:r>
        <w:rPr>
          <w:bCs/>
          <w:b/>
        </w:rPr>
        <w:t xml:space="preserve">Case Study</w:t>
      </w:r>
      <w:r>
        <w:t xml:space="preserve">, "Actor Engagement in</w:t>
      </w:r>
      <w:r>
        <w:t xml:space="preserve"> </w:t>
      </w:r>
      <w:r>
        <w:rPr>
          <w:iCs/>
          <w:i/>
        </w:rPr>
        <w:t xml:space="preserve">Iraq Baghdad</w:t>
      </w:r>
      <w:r>
        <w:t xml:space="preserve">", demonstrates that the city is a microcosm of Iraq’s broader transition. The dynamics between state power, international influence, and grassroots activism are shifting. For any entity aiming to succeed in</w:t>
      </w:r>
      <w:r>
        <w:t xml:space="preserve"> </w:t>
      </w:r>
      <w:r>
        <w:rPr>
          <w:iCs/>
          <w:i/>
        </w:rPr>
        <w:t xml:space="preserve">Iraq Baghdad</w:t>
      </w:r>
      <w:r>
        <w:t xml:space="preserve">, understanding who the key actors are and how they interact is not just beneficial but essential.</w:t>
      </w:r>
    </w:p>
    <w:p>
      <w:pPr>
        <w:pStyle w:val="BodyText"/>
      </w:pPr>
      <w:r>
        <w:t xml:space="preserve">The future of</w:t>
      </w:r>
      <w:r>
        <w:t xml:space="preserve"> </w:t>
      </w:r>
      <w:r>
        <w:rPr>
          <w:iCs/>
          <w:i/>
        </w:rPr>
        <w:t xml:space="preserve">Iraq Baghdad</w:t>
      </w:r>
      <w:r>
        <w:t xml:space="preserve"> </w:t>
      </w:r>
      <w:r>
        <w:t xml:space="preserve">will likely depend on the ability of these actors to move from competition to collaboration. By mapping these relationships clearly, policymakers and practitioners can design more effective interventions that respect local nuances while achieving strategic objectives.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Actor Engagement in Iraq Baghdad</dc:title>
  <dc:creator/>
  <dc:language>en</dc:language>
  <cp:keywords/>
  <dcterms:created xsi:type="dcterms:W3CDTF">2026-07-29T12:02:02Z</dcterms:created>
  <dcterms:modified xsi:type="dcterms:W3CDTF">2026-07-29T12:02:02Z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