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Russia</w:t>
      </w:r>
      <w:r>
        <w:t xml:space="preserve"> </w:t>
      </w:r>
      <w:r>
        <w:t xml:space="preserve">Moscow</w:t>
      </w:r>
    </w:p>
    <w:bookmarkStart w:id="29" w:name="Xa4b02547b71954711387413831b6c64dca95e65"/>
    <w:p>
      <w:pPr>
        <w:pStyle w:val="Heading1"/>
      </w:pPr>
      <w:r>
        <w:t xml:space="preserve">Aerospace Engineer: Strategic Case Study in the Context of Russia Moscow</w:t>
      </w:r>
    </w:p>
    <w:bookmarkStart w:id="20" w:name="executive-summary"/>
    <w:p>
      <w:pPr>
        <w:pStyle w:val="Heading2"/>
      </w:pPr>
      <w:r>
        <w:t xml:space="preserve">Executive Summary</w:t>
      </w:r>
    </w:p>
    <w:p>
      <w:pPr>
        <w:pStyle w:val="FirstParagraph"/>
      </w:pPr>
      <w:r>
        <w:t xml:space="preserve">The role of the</w:t>
      </w:r>
      <w:r>
        <w:t xml:space="preserve"> </w:t>
      </w:r>
      <w:r>
        <w:rPr>
          <w:bCs/>
          <w:b/>
        </w:rPr>
        <w:t xml:space="preserve">Aerospace Engineer</w:t>
      </w:r>
    </w:p>
    <w:p>
      <w:pPr>
        <w:numPr>
          <w:ilvl w:val="0"/>
          <w:numId w:val="1001"/>
        </w:numPr>
        <w:pStyle w:val="Compact"/>
      </w:pPr>
      <w:r>
        <w:t xml:space="preserve">Sustaining domestic production capabilities in aviation and space sectors.</w:t>
      </w:r>
    </w:p>
    <w:p>
      <w:pPr>
        <w:numPr>
          <w:ilvl w:val="0"/>
          <w:numId w:val="1001"/>
        </w:numPr>
        <w:pStyle w:val="Compact"/>
      </w:pPr>
      <w:r>
        <w:t xml:space="preserve">Navigating international sanctions and supply chain disruptions.</w:t>
      </w:r>
    </w:p>
    <w:bookmarkEnd w:id="20"/>
    <w:bookmarkStart w:id="21" w:name="Xee06460ee91d2c595f0986263c4b24609a6e078"/>
    <w:p>
      <w:pPr>
        <w:pStyle w:val="Heading2"/>
      </w:pPr>
      <w:r>
        <w:t xml:space="preserve">1. Introduction: The Strategic Importance of Aerospace Engineering in Russia Moscow</w:t>
      </w:r>
    </w:p>
    <w:p>
      <w:pPr>
        <w:pStyle w:val="FirstParagraph"/>
      </w:pPr>
      <w:r>
        <w:t xml:space="preserve">In the complex geopolitical landscape of the twenty-first century, the position of an</w:t>
      </w:r>
      <w:r>
        <w:t xml:space="preserve"> </w:t>
      </w:r>
      <w:r>
        <w:rPr>
          <w:bCs/>
          <w:b/>
        </w:rPr>
        <w:t xml:space="preserve">Aerospace Engineer</w:t>
      </w:r>
    </w:p>
    <w:p>
      <w:pPr>
        <w:pStyle w:val="BodyText"/>
      </w:pPr>
      <w:r>
        <w:t xml:space="preserve">The city of Moscow serves not merely as a geographical location but as the central nervous system for Russian aerospace policy. As home to major state corporations such as Roscosmos and design bureaus with deep historical roots, Moscow represents the epicenter where theoretical physics meets industrial reality. For any</w:t>
      </w:r>
      <w:r>
        <w:t xml:space="preserve"> </w:t>
      </w:r>
      <w:r>
        <w:rPr>
          <w:bCs/>
          <w:b/>
        </w:rPr>
        <w:t xml:space="preserve">Aerospace Engineer</w:t>
      </w:r>
    </w:p>
    <w:bookmarkEnd w:id="21"/>
    <w:bookmarkStart w:id="22" w:name="X24804e6ff280ac2f301fdc1243ab2ac81aec03e"/>
    <w:p>
      <w:pPr>
        <w:pStyle w:val="Heading2"/>
      </w:pPr>
      <w:r>
        <w:t xml:space="preserve">2. The Professional Profile: Adaptation and Resilience</w:t>
      </w:r>
    </w:p>
    <w:p>
      <w:pPr>
        <w:pStyle w:val="FirstParagraph"/>
      </w:pPr>
      <w:r>
        <w:t xml:space="preserve">The modern</w:t>
      </w:r>
      <w:r>
        <w:t xml:space="preserve"> </w:t>
      </w:r>
      <w:r>
        <w:rPr>
          <w:bCs/>
          <w:b/>
        </w:rPr>
        <w:t xml:space="preserve">Aerospace Engineer</w:t>
      </w:r>
    </w:p>
    <w:p>
      <w:pPr>
        <w:numPr>
          <w:ilvl w:val="0"/>
          <w:numId w:val="1002"/>
        </w:numPr>
        <w:pStyle w:val="Compact"/>
      </w:pPr>
      <w:r>
        <w:t xml:space="preserve">Legacy Systems Integration:</w:t>
      </w:r>
      <w:r>
        <w:t xml:space="preserve"> </w:t>
      </w:r>
      <w:r>
        <w:t xml:space="preserve">Engineers in Moscow are tasked with maintaining the Soviet-era infrastructure that still powers a significant portion of the world’s satellite network. This requires a deep understanding of legacy software and hardware architectures.</w:t>
      </w:r>
    </w:p>
    <w:p>
      <w:pPr>
        <w:numPr>
          <w:ilvl w:val="0"/>
          <w:numId w:val="1002"/>
        </w:numPr>
        <w:pStyle w:val="Compact"/>
      </w:pPr>
      <w:r>
        <w:t xml:space="preserve">Import Substitution:</w:t>
      </w:r>
      <w:r>
        <w:t xml:space="preserve"> </w:t>
      </w:r>
      <w:r>
        <w:t xml:space="preserve">With access to Western proprietary software (such as CAD/CAM tools like CATIA or ANSYS) restricted due to sanctions, engineers must pivot toward domestic alternatives or open-source solutions. This necessitates a high level of adaptability and creativity.</w:t>
      </w:r>
    </w:p>
    <w:p>
      <w:pPr>
        <w:numPr>
          <w:ilvl w:val="0"/>
          <w:numId w:val="1002"/>
        </w:numPr>
        <w:pStyle w:val="Compact"/>
      </w:pPr>
      <w:r>
        <w:t xml:space="preserve">Cross-Disciplinary Knowledge:</w:t>
      </w:r>
      <w:r>
        <w:t xml:space="preserve"> </w:t>
      </w:r>
      <w:r>
        <w:t xml:space="preserve">The isolation from global supply chains has forced Moscow-based engineers to become more self-sufficient, often handling roles in procurement and logistics that were previously outsourced.</w:t>
      </w:r>
    </w:p>
    <w:bookmarkEnd w:id="22"/>
    <w:bookmarkStart w:id="23" w:name="X91b7d8952dce37514ad02ee173b6d52498f8caa"/>
    <w:p>
      <w:pPr>
        <w:pStyle w:val="Heading2"/>
      </w:pPr>
      <w:r>
        <w:t xml:space="preserve">3. Case Context: Operational Challenges in Russia Moscow</w:t>
      </w:r>
    </w:p>
    <w:p>
      <w:pPr>
        <w:pStyle w:val="FirstParagraph"/>
      </w:pPr>
      <w:r>
        <w:t xml:space="preserve">The operational environment for an</w:t>
      </w:r>
      <w:r>
        <w:t xml:space="preserve"> </w:t>
      </w:r>
      <w:r>
        <w:rPr>
          <w:bCs/>
          <w:b/>
        </w:rPr>
        <w:t xml:space="preserve">Aerospace Engineer</w:t>
      </w:r>
    </w:p>
    <w:p>
      <w:pPr>
        <w:pStyle w:val="BodyText"/>
      </w:pPr>
      <w:r>
        <w:t xml:space="preserve">Supply Chain Fragmentation:</w:t>
      </w:r>
      <w:r>
        <w:t xml:space="preserve"> </w:t>
      </w:r>
      <w:r>
        <w:t xml:space="preserve">Access to high-grade alloys, specialized microelectronics, and precision machining tools from Europe and North America has been severely curtailed. Engineers must now source materials from non-traditional partners or develop new composite materials domestically.</w:t>
      </w:r>
    </w:p>
    <w:p>
      <w:pPr>
        <w:pStyle w:val="BodyText"/>
      </w:pPr>
      <w:r>
        <w:t xml:space="preserve">Brain Drain Dynamics:</w:t>
      </w:r>
      <w:r>
        <w:t xml:space="preserve"> </w:t>
      </w:r>
      <w:r>
        <w:t xml:space="preserve">While Moscow retains a core of exceptional talent, there has been an outflow of senior engineers to other countries. This places a heavier burden on mid-career</w:t>
      </w:r>
      <w:r>
        <w:t xml:space="preserve"> </w:t>
      </w:r>
      <w:r>
        <w:rPr>
          <w:bCs/>
          <w:b/>
        </w:rPr>
        <w:t xml:space="preserve">Aerospace Engineers</w:t>
      </w:r>
    </w:p>
    <w:bookmarkEnd w:id="23"/>
    <w:bookmarkStart w:id="24" w:name="key-projects-and-strategic-initiatives"/>
    <w:p>
      <w:pPr>
        <w:pStyle w:val="Heading2"/>
      </w:pPr>
      <w:r>
        <w:t xml:space="preserve">4. Key Projects and Strategic Initiatives</w:t>
      </w:r>
    </w:p>
    <w:p>
      <w:pPr>
        <w:pStyle w:val="FirstParagraph"/>
      </w:pPr>
      <w:r>
        <w:t xml:space="preserve">The work of the</w:t>
      </w:r>
      <w:r>
        <w:t xml:space="preserve"> </w:t>
      </w:r>
      <w:r>
        <w:rPr>
          <w:bCs/>
          <w:b/>
        </w:rPr>
        <w:t xml:space="preserve">Aerospace Engineer</w:t>
      </w:r>
    </w:p>
    <w:p>
      <w:pPr>
        <w:numPr>
          <w:ilvl w:val="0"/>
          <w:numId w:val="1003"/>
        </w:numPr>
        <w:pStyle w:val="Compact"/>
      </w:pPr>
      <w:r>
        <w:t xml:space="preserve">The Angara Launch Vehicle:</w:t>
      </w:r>
      <w:r>
        <w:t xml:space="preserve"> </w:t>
      </w:r>
      <w:r>
        <w:t xml:space="preserve">This project is critical for Russia’s independence in space launch capabilities. Engineers in Moscow are refining this family of rockets to replace aging Proton systems, ensuring that human spaceflight remains uninterrupted.</w:t>
      </w:r>
    </w:p>
    <w:p>
      <w:pPr>
        <w:numPr>
          <w:ilvl w:val="0"/>
          <w:numId w:val="1003"/>
        </w:numPr>
        <w:pStyle w:val="Compact"/>
      </w:pPr>
      <w:r>
        <w:t xml:space="preserve">Superjet International (Sukhoi Superjet 100) Retrofit:</w:t>
      </w:r>
      <w:r>
        <w:t xml:space="preserve"> </w:t>
      </w:r>
      <w:r>
        <w:t xml:space="preserve">Although the commercial international market for this aircraft has diminished, domestic airlines require maintenance and retrofitting. Engineers are working to localize components previously imported from Italy and France.</w:t>
      </w:r>
    </w:p>
    <w:p>
      <w:pPr>
        <w:numPr>
          <w:ilvl w:val="0"/>
          <w:numId w:val="1003"/>
        </w:numPr>
        <w:pStyle w:val="Compact"/>
      </w:pPr>
      <w:r>
        <w:t xml:space="preserve">Luna-25 and Lunar Program:</w:t>
      </w:r>
      <w:r>
        <w:t xml:space="preserve"> </w:t>
      </w:r>
      <w:r>
        <w:t xml:space="preserve">Recent lunar missions highlight the precision required by Moscow-based teams. Despite the high-profile failure of Luna-25, the subsequent efforts demonstrate a resilient engineering culture that analyzes failure modes rapidly to improve future missions.</w:t>
      </w:r>
    </w:p>
    <w:bookmarkEnd w:id="24"/>
    <w:bookmarkStart w:id="25" w:name="Xa0a749cb48093c52144acf49e54382e827aa71f"/>
    <w:p>
      <w:pPr>
        <w:pStyle w:val="Heading2"/>
      </w:pPr>
      <w:r>
        <w:t xml:space="preserve">5. Technological Innovations and Digital Transformation</w:t>
      </w:r>
    </w:p>
    <w:p>
      <w:pPr>
        <w:pStyle w:val="FirstParagraph"/>
      </w:pPr>
      <w:r>
        <w:t xml:space="preserve">To mitigate hardware shortages,</w:t>
      </w:r>
      <w:r>
        <w:t xml:space="preserve"> </w:t>
      </w:r>
      <w:r>
        <w:rPr>
          <w:bCs/>
          <w:b/>
        </w:rPr>
        <w:t xml:space="preserve">Aerospace Engineers</w:t>
      </w:r>
    </w:p>
    <w:p>
      <w:pPr>
        <w:numPr>
          <w:ilvl w:val="0"/>
          <w:numId w:val="1004"/>
        </w:numPr>
        <w:pStyle w:val="Compact"/>
      </w:pPr>
      <w:r>
        <w:t xml:space="preserve">Additive Manufacturing:</w:t>
      </w:r>
      <w:r>
        <w:t xml:space="preserve"> </w:t>
      </w:r>
      <w:r>
        <w:t xml:space="preserve">3D printing technology is being heavily utilized to produce complex metal components locally. This reduces reliance on imported cast parts.</w:t>
      </w:r>
    </w:p>
    <w:p>
      <w:pPr>
        <w:numPr>
          <w:ilvl w:val="0"/>
          <w:numId w:val="1004"/>
        </w:numPr>
        <w:pStyle w:val="Compact"/>
      </w:pPr>
      <w:r>
        <w:t xml:space="preserve">Simulation Software Development:</w:t>
      </w:r>
      <w:r>
        <w:t xml:space="preserve"> </w:t>
      </w:r>
      <w:r>
        <w:t xml:space="preserve">With foreign simulation tools unavailable, Russian tech firms and engineering departments are accelerating the development of domestic CAD/CAE software. Engineers are becoming key testers and developers for these new platforms.</w:t>
      </w:r>
    </w:p>
    <w:bookmarkEnd w:id="25"/>
    <w:bookmarkStart w:id="26" w:name="X7ec577c4c10d629eed1dab287d90c2ef4e5a1f4"/>
    <w:p>
      <w:pPr>
        <w:pStyle w:val="Heading2"/>
      </w:pPr>
      <w:r>
        <w:t xml:space="preserve">6. Human Resources and Educational Infrastructure</w:t>
      </w:r>
    </w:p>
    <w:p>
      <w:pPr>
        <w:pStyle w:val="FirstParagraph"/>
      </w:pPr>
      <w:r>
        <w:t xml:space="preserve">The sustainability of the</w:t>
      </w:r>
      <w:r>
        <w:t xml:space="preserve"> </w:t>
      </w:r>
      <w:r>
        <w:rPr>
          <w:bCs/>
          <w:b/>
        </w:rPr>
        <w:t xml:space="preserve">Aerospace Engineer</w:t>
      </w:r>
    </w:p>
    <w:p>
      <w:pPr>
        <w:numPr>
          <w:ilvl w:val="0"/>
          <w:numId w:val="1005"/>
        </w:numPr>
        <w:pStyle w:val="Compact"/>
      </w:pPr>
      <w:r>
        <w:t xml:space="preserve">Higher Education Reforms:</w:t>
      </w:r>
      <w:r>
        <w:t xml:space="preserve"> </w:t>
      </w:r>
      <w:r>
        <w:t xml:space="preserve">Universities in Moscow are updating curricula to focus more on domestic technologies and less on Western standards.</w:t>
      </w:r>
    </w:p>
    <w:p>
      <w:pPr>
        <w:numPr>
          <w:ilvl w:val="0"/>
          <w:numId w:val="1005"/>
        </w:numPr>
        <w:pStyle w:val="Compact"/>
      </w:pPr>
      <w:r>
        <w:t xml:space="preserve">Incentive Structures:</w:t>
      </w:r>
      <w:r>
        <w:t xml:space="preserve"> </w:t>
      </w:r>
      <w:r>
        <w:t xml:space="preserve">To retain talent, state-owned enterprises offer competitive salaries and housing benefits in Moscow, although the high cost of living remains a challenge.</w:t>
      </w:r>
    </w:p>
    <w:bookmarkEnd w:id="26"/>
    <w:bookmarkStart w:id="27" w:name="conclusion-the-future-trajectory"/>
    <w:p>
      <w:pPr>
        <w:pStyle w:val="Heading2"/>
      </w:pPr>
      <w:r>
        <w:t xml:space="preserve">7. Conclusion: The Future Trajectory</w:t>
      </w:r>
    </w:p>
    <w:p>
      <w:pPr>
        <w:pStyle w:val="FirstParagraph"/>
      </w:pPr>
      <w:r>
        <w:t xml:space="preserve">In conclusion, the role of the</w:t>
      </w:r>
      <w:r>
        <w:t xml:space="preserve"> </w:t>
      </w:r>
      <w:r>
        <w:rPr>
          <w:bCs/>
          <w:b/>
        </w:rPr>
        <w:t xml:space="preserve">Aerospace Engineer</w:t>
      </w:r>
    </w:p>
    <w:p>
      <w:pPr>
        <w:pStyle w:val="BodyText"/>
      </w:pPr>
      <w:r>
        <w:t xml:space="preserve">The</w:t>
      </w:r>
      <w:r>
        <w:t xml:space="preserve"> </w:t>
      </w:r>
      <w:r>
        <w:rPr>
          <w:bCs/>
          <w:b/>
        </w:rPr>
        <w:t xml:space="preserve">Aerospace Engineer</w:t>
      </w:r>
    </w:p>
    <w:bookmarkEnd w:id="27"/>
    <w:bookmarkStart w:id="28" w:name="recommendations-for-stakeholders"/>
    <w:p>
      <w:pPr>
        <w:pStyle w:val="Heading2"/>
      </w:pPr>
      <w:r>
        <w:t xml:space="preserve">8. Recommendations for Stakeholders</w:t>
      </w:r>
    </w:p>
    <w:p>
      <w:pPr>
        <w:numPr>
          <w:ilvl w:val="0"/>
          <w:numId w:val="1006"/>
        </w:numPr>
        <w:pStyle w:val="Compact"/>
      </w:pPr>
      <w:r>
        <w:t xml:space="preserve">Prioritize investment in domestic software ecosystems to reduce technical debt associated with legacy systems.</w:t>
      </w:r>
    </w:p>
    <w:p>
      <w:pPr>
        <w:numPr>
          <w:ilvl w:val="0"/>
          <w:numId w:val="1006"/>
        </w:numPr>
        <w:pStyle w:val="Compact"/>
      </w:pPr>
      <w:r>
        <w:t xml:space="preserve">Foster international collaboration with non-Western aerospace hubs (e.g., China, India) to share technological burdens.</w:t>
      </w:r>
    </w:p>
    <w:p>
      <w:pPr>
        <w:numPr>
          <w:ilvl w:val="0"/>
          <w:numId w:val="1006"/>
        </w:numPr>
        <w:pStyle w:val="Compact"/>
      </w:pPr>
      <w:r>
        <w:t xml:space="preserve">Enhance training programs that emphasize system integration and troubleshooting under resource-constrained conditions.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Aerospace Engineer in Russia Moscow</dc:title>
  <dc:creator/>
  <dc:language>en</dc:language>
  <cp:keywords/>
  <dcterms:created xsi:type="dcterms:W3CDTF">2026-07-29T03:26:37Z</dcterms:created>
  <dcterms:modified xsi:type="dcterms:W3CDTF">2026-07-29T03:26:37Z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