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p>
    <w:bookmarkStart w:id="28" w:name="Xf0790e5fa9e1c96981c917e69bb29a267d9ad81"/>
    <w:p>
      <w:pPr>
        <w:pStyle w:val="Heading1"/>
      </w:pPr>
      <w:r>
        <w:t xml:space="preserve">Case Study: Navigating Complexity and Innovation as an Architect in Israel Tel Aviv</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Architect in one of the world’s most dynamic urban environments.</w:t>
      </w:r>
    </w:p>
    <w:bookmarkStart w:id="20" w:name="executive-summary"/>
    <w:p>
      <w:pPr>
        <w:pStyle w:val="Heading2"/>
      </w:pPr>
      <w:r>
        <w:t xml:space="preserve">1. Executive Summary</w:t>
      </w:r>
    </w:p>
    <w:p>
      <w:pPr>
        <w:pStyle w:val="FirstParagraph"/>
      </w:pPr>
      <w:r>
        <w:t xml:space="preserve">This case study explores the multifaceted challenges and opportunities faced by an</w:t>
      </w:r>
      <w:r>
        <w:t xml:space="preserve"> </w:t>
      </w:r>
      <w:r>
        <w:rPr>
          <w:bCs/>
          <w:b/>
        </w:rPr>
        <w:t xml:space="preserve">Architect</w:t>
      </w:r>
      <w:r>
        <w:t xml:space="preserve"> </w:t>
      </w:r>
      <w:r>
        <w:t xml:space="preserve">operating within the bustling metropolis of</w:t>
      </w:r>
      <w:r>
        <w:t xml:space="preserve"> </w:t>
      </w:r>
      <w:r>
        <w:rPr>
          <w:bCs/>
          <w:b/>
        </w:rPr>
        <w:t xml:space="preserve">Israel Tel Aviv</w:t>
      </w:r>
      <w:r>
        <w:t xml:space="preserve">. As a city defined by its "White City" modernist heritage, rapid technological innovation, and intense demographic shifts, Tel Aviv presents a unique canvas for architectural discourse. The primary objective of this document is to analyze how contemporary design principles intersect with local regulatory frameworks, cultural expectations, and environmental constraints in this specific geographic context.</w:t>
      </w:r>
    </w:p>
    <w:bookmarkEnd w:id="20"/>
    <w:bookmarkStart w:id="21" w:name="contextual-background"/>
    <w:p>
      <w:pPr>
        <w:pStyle w:val="Heading2"/>
      </w:pPr>
      <w:r>
        <w:t xml:space="preserve">2. Contextual Background</w:t>
      </w:r>
    </w:p>
    <w:p>
      <w:pPr>
        <w:pStyle w:val="FirstParagraph"/>
      </w:pPr>
      <w:r>
        <w:t xml:space="preserve">Tel Aviv-Yafo is not merely a city; it is a global hub for technology, finance, and culture. For an</w:t>
      </w:r>
      <w:r>
        <w:t xml:space="preserve"> </w:t>
      </w:r>
      <w:r>
        <w:rPr>
          <w:bCs/>
          <w:b/>
        </w:rPr>
        <w:t xml:space="preserve">Architect</w:t>
      </w:r>
      <w:r>
        <w:t xml:space="preserve">, understanding the dual identity of this locale is paramount. On one hand, there exists the UNESCO World Heritage-listed White City, comprising thousands of Bauhaus and International Style buildings constructed in the 1930s and 40s. On the other hand, the city is undergoing a vertical explosion, with luxury high-rises redefining its skyline along the Mediterranean coast.</w:t>
      </w:r>
    </w:p>
    <w:p>
      <w:pPr>
        <w:pStyle w:val="BodyText"/>
      </w:pPr>
      <w:r>
        <w:t xml:space="preserve">In</w:t>
      </w:r>
      <w:r>
        <w:t xml:space="preserve"> </w:t>
      </w:r>
      <w:r>
        <w:rPr>
          <w:bCs/>
          <w:b/>
        </w:rPr>
        <w:t xml:space="preserve">Israel Tel Aviv</w:t>
      </w:r>
      <w:r>
        <w:t xml:space="preserve">, urban density is extreme. Land scarcity drives developers toward height and mixed-use configurations. Consequently, the role of the</w:t>
      </w:r>
      <w:r>
        <w:t xml:space="preserve"> </w:t>
      </w:r>
      <w:r>
        <w:rPr>
          <w:bCs/>
          <w:b/>
        </w:rPr>
        <w:t xml:space="preserve">Architect</w:t>
      </w:r>
      <w:r>
        <w:t xml:space="preserve"> </w:t>
      </w:r>
      <w:r>
        <w:t xml:space="preserve">shifts from mere aesthetic design to complex problem-solving involving structural engineering, sustainable systems integration, and social cohesion strategies. The city’s climate—characterized by hot summers and mild winters—further dictates architectural responses, necessitating passive cooling techniques and robust material selection.</w:t>
      </w:r>
    </w:p>
    <w:bookmarkEnd w:id="21"/>
    <w:bookmarkStart w:id="22" w:name="X003b142ad7d1acc7b2d6cddcd2e09c28aefb822"/>
    <w:p>
      <w:pPr>
        <w:pStyle w:val="Heading2"/>
      </w:pPr>
      <w:r>
        <w:t xml:space="preserve">3. Problem Statement: Balancing Heritage with Hyper-Modernity</w:t>
      </w:r>
    </w:p>
    <w:p>
      <w:pPr>
        <w:pStyle w:val="FirstParagraph"/>
      </w:pPr>
      <w:r>
        <w:t xml:space="preserve">The central challenge for an</w:t>
      </w:r>
      <w:r>
        <w:t xml:space="preserve"> </w:t>
      </w:r>
      <w:r>
        <w:rPr>
          <w:bCs/>
          <w:b/>
        </w:rPr>
        <w:t xml:space="preserve">Architect</w:t>
      </w:r>
      <w:r>
        <w:t xml:space="preserve"> </w:t>
      </w:r>
      <w:r>
        <w:t xml:space="preserve">in this region is the tension between preservation and progress. Developers in</w:t>
      </w:r>
      <w:r>
        <w:t xml:space="preserve"> </w:t>
      </w:r>
      <w:r>
        <w:rPr>
          <w:bCs/>
          <w:b/>
        </w:rPr>
        <w:t xml:space="preserve">Israel Tel Aviv</w:t>
      </w:r>
      <w:r>
        <w:t xml:space="preserve">Architect</w:t>
      </w:r>
    </w:p>
    <w:p>
      <w:pPr>
        <w:pStyle w:val="BodyText"/>
      </w:pPr>
      <w:r>
        <w:t xml:space="preserve">Furthermore, there is a pressing need for sustainable design solutions that address energy efficiency without compromising the thermal comfort required in Israel’s climate. Traditional air-conditioning models are increasingly being scrutinized due to their environmental impact and cost. The</w:t>
      </w:r>
      <w:r>
        <w:t xml:space="preserve"> </w:t>
      </w:r>
      <w:r>
        <w:rPr>
          <w:bCs/>
          <w:b/>
        </w:rPr>
        <w:t xml:space="preserve">Architect</w:t>
      </w:r>
      <w:r>
        <w:t xml:space="preserve"> </w:t>
      </w:r>
      <w:r>
        <w:t xml:space="preserve">is tasked with integrating green technologies—such as solar facades, rainwater harvesting, and natural ventilation corridors—into projects that must also meet rigorous security and safety standards unique to the Israeli context.</w:t>
      </w:r>
    </w:p>
    <w:bookmarkEnd w:id="22"/>
    <w:bookmarkStart w:id="23" w:name="X116b8bc4839b0584c53ae5501a31808a312953f"/>
    <w:p>
      <w:pPr>
        <w:pStyle w:val="Heading2"/>
      </w:pPr>
      <w:r>
        <w:t xml:space="preserve">4. Methodology: The Integrated Design Approach</w:t>
      </w:r>
    </w:p>
    <w:p>
      <w:pPr>
        <w:pStyle w:val="FirstParagraph"/>
      </w:pPr>
      <w:r>
        <w:t xml:space="preserve">To address these challenges, this case study adopts an integrated design methodology. This approach involves early collaboration between the</w:t>
      </w:r>
      <w:r>
        <w:t xml:space="preserve"> </w:t>
      </w:r>
      <w:r>
        <w:rPr>
          <w:bCs/>
          <w:b/>
        </w:rPr>
        <w:t xml:space="preserve">Architect</w:t>
      </w:r>
      <w:r>
        <w:t xml:space="preserve">, structural engineers, MEP (Mechanical, Electrical, and Plumbing) consultants, and local municipal planners in</w:t>
      </w:r>
    </w:p>
    <w:p>
      <w:pPr>
        <w:pStyle w:val="BodyText"/>
      </w:pPr>
      <w:r>
        <w:t xml:space="preserve">Israel Tel Aviv. Key phases of the methodology include:</w:t>
      </w:r>
    </w:p>
    <w:p>
      <w:pPr>
        <w:numPr>
          <w:ilvl w:val="0"/>
          <w:numId w:val="1001"/>
        </w:numPr>
        <w:pStyle w:val="Compact"/>
      </w:pPr>
      <w:r>
        <w:rPr>
          <w:bCs/>
          <w:b/>
        </w:rPr>
        <w:t xml:space="preserve">Site Analysis:</w:t>
      </w:r>
      <w:r>
        <w:t xml:space="preserve"> </w:t>
      </w:r>
      <w:r>
        <w:t xml:space="preserve">Deep-dive research into micro-climate data, solar orientation, and wind patterns specific to the Mediterranean coast.</w:t>
      </w:r>
    </w:p>
    <w:p>
      <w:pPr>
        <w:numPr>
          <w:ilvl w:val="0"/>
          <w:numId w:val="1001"/>
        </w:numPr>
        <w:pStyle w:val="Compact"/>
      </w:pPr>
      <w:r>
        <w:rPr>
          <w:bCs/>
          <w:b/>
        </w:rPr>
        <w:t xml:space="preserve">Cultural Sensitivity Mapping:</w:t>
      </w:r>
      <w:r>
        <w:t xml:space="preserve"> </w:t>
      </w:r>
      <w:r>
        <w:t xml:space="preserve">Engaging with community stakeholders to understand the social fabric of neighborhoods like Florentin or Neve Tzedek. The</w:t>
      </w:r>
    </w:p>
    <w:p>
      <w:pPr>
        <w:numPr>
          <w:ilvl w:val="0"/>
          <w:numId w:val="1000"/>
        </w:numPr>
        <w:pStyle w:val="Compact"/>
      </w:pPr>
      <w:r>
        <w:t xml:space="preserve">Architect must ensure that new developments do not lead to gentrification-induced displacement but rather enhance communal spaces.</w:t>
      </w:r>
    </w:p>
    <w:p>
      <w:pPr>
        <w:numPr>
          <w:ilvl w:val="0"/>
          <w:numId w:val="1001"/>
        </w:numPr>
        <w:pStyle w:val="Compact"/>
      </w:pPr>
      <w:r>
        <w:t xml:space="preserve"> Collaborating closely with the Tel Aviv-Jaffa Municipality to align design proposals with zoning laws, height restrictions, and heritage preservation guidelines.</w:t>
      </w:r>
    </w:p>
    <w:p>
      <w:pPr>
        <w:numPr>
          <w:ilvl w:val="0"/>
          <w:numId w:val="1001"/>
        </w:numPr>
        <w:pStyle w:val="Compact"/>
      </w:pPr>
      <w:r>
        <w:rPr>
          <w:bCs/>
          <w:b/>
        </w:rPr>
        <w:t xml:space="preserve">Sustainable Integration:</w:t>
      </w:r>
      <w:r>
        <w:t xml:space="preserve"> Utilizing Building Information Modeling (BIM) to simulate energy performance and optimize material choices for durability and thermal mass.</w:t>
      </w:r>
    </w:p>
    <w:bookmarkEnd w:id="23"/>
    <w:bookmarkStart w:id="24" w:name="Xc109e89bccd7fcd6cf86382e9b0c5aa958fc97e"/>
    <w:p>
      <w:pPr>
        <w:pStyle w:val="Heading2"/>
      </w:pPr>
      <w:r>
        <w:t xml:space="preserve">5. Case Application: The 'Green Skyline' Project</w:t>
      </w:r>
    </w:p>
    <w:p>
      <w:pPr>
        <w:pStyle w:val="FirstParagraph"/>
      </w:pPr>
      <w:r>
        <w:t xml:space="preserve">To illustrate these concepts, consider a hypothetical mid-rise residential project in the heart of</w:t>
      </w:r>
      <w:r>
        <w:t xml:space="preserve"> </w:t>
      </w:r>
      <w:r>
        <w:rPr>
          <w:bCs/>
          <w:b/>
        </w:rPr>
        <w:t xml:space="preserve">Israel Tel Aviv</w:t>
      </w:r>
      <w:r>
        <w:t xml:space="preserve">. The brief required a 15-story building that harmonized with the surrounding Bauhaus architecture while offering modern luxury amenities. As the lead</w:t>
      </w:r>
    </w:p>
    <w:p>
      <w:pPr>
        <w:pStyle w:val="BodyText"/>
      </w:pPr>
      <w:r>
        <w:t xml:space="preserve">Architect, several critical decisions were made:</w:t>
      </w:r>
    </w:p>
    <w:p>
      <w:pPr>
        <w:pStyle w:val="BodyText"/>
      </w:pPr>
      <w:r>
        <w:rPr>
          <w:bCs/>
          <w:b/>
        </w:rPr>
        <w:t xml:space="preserve">Aesthetic Harmony:</w:t>
      </w:r>
      <w:r>
        <w:t xml:space="preserve"> The facade design utilized light-colored stone and concrete, reflecting the palette of the White City, but introduced deep recessed balconies to provide shade and reduce solar heat gain. This nod to regional vernacular ensured cultural continuity.</w:t>
      </w:r>
    </w:p>
    <w:p>
      <w:pPr>
        <w:pStyle w:val="BodyText"/>
      </w:pPr>
      <w:r>
        <w:rPr>
          <w:bCs/>
          <w:b/>
        </w:rPr>
        <w:t xml:space="preserve">Sustainable Engineering:</w:t>
      </w:r>
      <w:r>
        <w:t xml:space="preserve"> The building incorporated a dual-ventilation system that leverages sea breezes common in this part of</w:t>
      </w:r>
    </w:p>
    <w:p>
      <w:pPr>
        <w:pStyle w:val="BodyText"/>
      </w:pPr>
      <w:r>
        <w:t xml:space="preserve">Israel Tel Aviv. Green terraces on every fourth floor were integrated not just for aesthetics but to lower ambient temperatures and improve air quality. The</w:t>
      </w:r>
    </w:p>
    <w:p>
      <w:pPr>
        <w:pStyle w:val="BodyText"/>
      </w:pPr>
      <w:r>
        <w:t xml:space="preserve">Architect worked with engineers to install photovoltaic panels on the rooftop, aiming for net-zero energy consumption.</w:t>
      </w:r>
    </w:p>
    <w:p>
      <w:pPr>
        <w:pStyle w:val="BodyText"/>
      </w:pPr>
      <w:r>
        <w:rPr>
          <w:bCs/>
          <w:b/>
        </w:rPr>
        <w:t xml:space="preserve">Social Infrastructure:</w:t>
      </w:r>
      <w:r>
        <w:t xml:space="preserve"> Recognizing the lack of public green space in dense urban cores, the ground floor was opened up to create a semi-public plaza. This design choice encouraged community interaction and blurred the line between private development and public realm, a key consideration for modern urban planning in Tel Aviv.</w:t>
      </w:r>
    </w:p>
    <w:bookmarkEnd w:id="24"/>
    <w:bookmarkStart w:id="25" w:name="challenges-encountered"/>
    <w:p>
      <w:pPr>
        <w:pStyle w:val="Heading2"/>
      </w:pPr>
      <w:r>
        <w:t xml:space="preserve">6. Challenges Encountered</w:t>
      </w:r>
    </w:p>
    <w:p>
      <w:pPr>
        <w:pStyle w:val="FirstParagraph"/>
      </w:pPr>
      <w:r>
        <w:t xml:space="preserve">The journey was not without obstacles. Supply chain disruptions affected the availability of specific sustainable materials required by the</w:t>
      </w:r>
    </w:p>
    <w:p>
      <w:pPr>
        <w:pStyle w:val="BodyText"/>
      </w:pPr>
      <w:r>
        <w:t xml:space="preserve">Architect. Additionally, bureaucratic delays in permitting processes within municipal offices in Tel Aviv tested project timelines. Security requirements for underground parking and basement structures also added complexity, requiring specialized engineering solutions that had to be seamlessly integrated into the architectural vision.</w:t>
      </w:r>
    </w:p>
    <w:bookmarkEnd w:id="25"/>
    <w:bookmarkStart w:id="26" w:name="outcomes-and-impact"/>
    <w:p>
      <w:pPr>
        <w:pStyle w:val="Heading2"/>
      </w:pPr>
      <w:r>
        <w:t xml:space="preserve">7. Outcomes and Impact</w:t>
      </w:r>
    </w:p>
    <w:p>
      <w:pPr>
        <w:pStyle w:val="FirstParagraph"/>
      </w:pPr>
      <w:r>
        <w:t xml:space="preserve">The completed project in</w:t>
      </w:r>
      <w:r>
        <w:t xml:space="preserve"> </w:t>
      </w:r>
      <w:r>
        <w:rPr>
          <w:bCs/>
          <w:b/>
        </w:rPr>
        <w:t xml:space="preserve">Israel Tel Aviv</w:t>
      </w:r>
      <w:r>
        <w:t xml:space="preserve"> served as a benchmark for sustainable luxury living. It received LEED Gold certification, demonstrating that high-density urban development can be environmentally responsible. The building has been praised by the local community for its contribution to the streetscape and its innovative use of space.</w:t>
      </w:r>
    </w:p>
    <w:p>
      <w:pPr>
        <w:pStyle w:val="BodyText"/>
      </w:pPr>
      <w:r>
        <w:t xml:space="preserve">For the</w:t>
      </w:r>
      <w:r>
        <w:t xml:space="preserve"> </w:t>
      </w:r>
      <w:r>
        <w:rPr>
          <w:bCs/>
          <w:b/>
        </w:rPr>
        <w:t xml:space="preserve">Architect</w:t>
      </w:r>
      <w:r>
        <w:t xml:space="preserve">, this project highlighted the importance of adaptability and deep local knowledge. It proved that respecting historical context does not preclude modern innovation. Instead, it enhances it by creating a dialogue between past and future.</w:t>
      </w:r>
    </w:p>
    <w:bookmarkEnd w:id="26"/>
    <w:bookmarkStart w:id="27" w:name="conclusion"/>
    <w:p>
      <w:pPr>
        <w:pStyle w:val="Heading2"/>
      </w:pPr>
      <w:r>
        <w:t xml:space="preserve">8. Conclusion</w:t>
      </w:r>
    </w:p>
    <w:p>
      <w:pPr>
        <w:pStyle w:val="FirstParagraph"/>
      </w:pPr>
      <w:r>
        <w:t xml:space="preserve">In conclusion, being an</w:t>
      </w:r>
      <w:r>
        <w:t xml:space="preserve"> </w:t>
      </w:r>
      <w:r>
        <w:rPr>
          <w:bCs/>
          <w:b/>
        </w:rPr>
        <w:t xml:space="preserve">Architect</w:t>
      </w:r>
      <w:r>
        <w:t xml:space="preserve"> in Tel Aviv requires more than technical proficiency; it demands a nuanced understanding of history, politics, climate, and culture. The city of</w:t>
      </w:r>
    </w:p>
    <w:p>
      <w:pPr>
        <w:pStyle w:val="BodyText"/>
      </w:pPr>
      <w:r>
        <w:t xml:space="preserve">Israel Tel Aviv offers a vibrant yet demanding arena where architectural decisions have profound social and environmental impacts. By embracing integrated design principles and respecting the unique characteristics of the locale, architects can create spaces that are not only visually striking but also sustainable, inclusive, and resilient.</w:t>
      </w:r>
    </w:p>
    <w:p>
      <w:pPr>
        <w:pStyle w:val="BodyText"/>
      </w:pPr>
      <w:r>
        <w:t xml:space="preserve">This case study underscores that the future of architecture in Tel Aviv lies in balance—balancing old with new, density with livability, and innovation with preservation. The</w:t>
      </w:r>
    </w:p>
    <w:p>
      <w:pPr>
        <w:pStyle w:val="BodyText"/>
      </w:pPr>
      <w:r>
        <w:t xml:space="preserve">Architect plays a pivotal role as the mediator of these forces, shaping a city that is both rooted in its heritage and reaching toward global standards of excellence.</w:t>
      </w:r>
    </w:p>
    <w:p>
      <w:r>
        <w:pict>
          <v:rect style="width:0;height:1.5pt" o:hralign="center" o:hrstd="t" o:hr="t"/>
        </w:pict>
      </w:r>
    </w:p>
    <w:p>
      <w:pPr>
        <w:pStyle w:val="FirstParagraph"/>
      </w:pPr>
      <w:r>
        <w:rPr>
          <w:bCs/>
          <w:b/>
        </w:rPr>
        <w:t xml:space="preserve">Note:</w:t>
      </w:r>
      <w:r>
        <w:t xml:space="preserve"> </w:t>
      </w:r>
      <w:r>
        <w:t xml:space="preserve">This document is a fictional case study created for illustrative purposes regarding architectural practices in Tel Aviv.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Israel Tel Aviv</dc:title>
  <dc:creator/>
  <dc:language>en</dc:language>
  <cp:keywords/>
  <dcterms:created xsi:type="dcterms:W3CDTF">2026-07-29T06:28:02Z</dcterms:created>
  <dcterms:modified xsi:type="dcterms:W3CDTF">2026-07-29T06:28:02Z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