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Architectural</w:t>
      </w:r>
      <w:r>
        <w:t xml:space="preserve"> </w:t>
      </w:r>
      <w:r>
        <w:t xml:space="preserve">Innovation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e629b371a4522f98ca68b9fa51aa631b65a9f6e"/>
    <w:p>
      <w:pPr>
        <w:pStyle w:val="Heading1"/>
      </w:pPr>
      <w:r>
        <w:t xml:space="preserve">Case Study: Sustainable Urban Regeneration and the Role of the Modern Architect in United Kingdom Birmingham</w:t>
      </w:r>
    </w:p>
    <w:p>
      <w:pPr>
        <w:pStyle w:val="FirstParagraph"/>
      </w:pPr>
      <w:r>
        <w:rPr>
          <w:bCs/>
          <w:b/>
        </w:rPr>
        <w:t xml:space="preserve">Date:</w:t>
      </w:r>
      <w:r>
        <w:t xml:space="preserve"> </w:t>
      </w:r>
      <w:r>
        <w:t xml:space="preserve">October 2023</w:t>
      </w:r>
      <w:r>
        <w:br/>
      </w:r>
      <w:r>
        <w:rPr>
          <w:bCs/>
          <w:b/>
        </w:rPr>
        <w:t xml:space="preserve">Coverage Area:</w:t>
      </w:r>
      <w:hyperlink w:anchor="top">
        <w:r>
          <w:rPr>
            <w:rStyle w:val="Hyperlink"/>
          </w:rPr>
          <w:t xml:space="preserve">United Kingdom Birmingham</w:t>
        </w:r>
      </w:hyperlink>
      <w:r>
        <w:br/>
      </w:r>
    </w:p>
    <w:p>
      <w:pPr>
        <w:pStyle w:val="BodyText"/>
      </w:pPr>
      <w:r>
        <w:t xml:space="preserve">Focus Discipline:: Professional Architectural Services &amp; Urban Planning</w:t>
      </w:r>
      <w:r>
        <w:br/>
      </w:r>
    </w:p>
    <w:bookmarkStart w:id="20" w:name="top"/>
    <w:p>
      <w:pPr>
        <w:pStyle w:val="Heading2"/>
      </w:pPr>
      <w:r>
        <w:t xml:space="preserve">1. Introduction and Contextual Background</w:t>
      </w:r>
    </w:p>
    <w:p>
      <w:pPr>
        <w:pStyle w:val="FirstParagraph"/>
      </w:pPr>
      <w:r>
        <w:t xml:space="preserve">Birmingham has long been recognized as the second city of the United Kingdom, possessing a rich industrial heritage that defines its unique urban fabric. As one of the largest metropolitan areas outside of London, Birmingham is currently undergoing a period of unprecedented transformation. This case study examines how a specialized</w:t>
      </w:r>
      <w:r>
        <w:t xml:space="preserve"> </w:t>
      </w:r>
      <w:hyperlink w:anchor="arch">
        <w:r>
          <w:rPr>
            <w:rStyle w:val="Hyperlink"/>
          </w:rPr>
          <w:t xml:space="preserve">Architect</w:t>
        </w:r>
      </w:hyperlink>
      <w:r>
        <w:t xml:space="preserve"> </w:t>
      </w:r>
      <w:r>
        <w:t xml:space="preserve">navigated the complex challenges associated with revitalizing a post-industrial zone in</w:t>
      </w:r>
      <w:r>
        <w:t xml:space="preserve"> </w:t>
      </w:r>
      <w:hyperlink w:anchor="top">
        <w:r>
          <w:rPr>
            <w:rStyle w:val="Hyperlink"/>
          </w:rPr>
          <w:t xml:space="preserve">United Kingdom Birmingham</w:t>
        </w:r>
      </w:hyperlink>
      <w:r>
        <w:t xml:space="preserve">. The project, known as "The Canal Quarter Revitalization," serves as a prime example of how contemporary architectural practice can bridge the gap between historical preservation and modern sustainable living.</w:t>
      </w:r>
    </w:p>
    <w:p>
      <w:pPr>
        <w:pStyle w:val="BodyText"/>
      </w:pPr>
      <w:r>
        <w:t xml:space="preserve">The primary objective was to transform a disused 19th-century warehouse district into a mixed-use community hub that prioritizes sustainability, social connectivity, and economic viability. The city council of</w:t>
      </w:r>
      <w:r>
        <w:t xml:space="preserve"> </w:t>
      </w:r>
      <w:hyperlink w:anchor="top">
        <w:r>
          <w:rPr>
            <w:rStyle w:val="Hyperlink"/>
          </w:rPr>
          <w:t xml:space="preserve">United Kingdom Birmingham</w:t>
        </w:r>
      </w:hyperlink>
      <w:r>
        <w:t xml:space="preserve"> </w:t>
      </w:r>
      <w:r>
        <w:t xml:space="preserve">mandated that any development must adhere to strict carbon-neutral targets by 2030, placing significant pressure on the appointed</w:t>
      </w:r>
      <w:r>
        <w:t xml:space="preserve"> </w:t>
      </w:r>
      <w:hyperlink w:anchor="arch">
        <w:r>
          <w:rPr>
            <w:rStyle w:val="Hyperlink"/>
          </w:rPr>
          <w:t xml:space="preserve">Architect</w:t>
        </w:r>
      </w:hyperlink>
      <w:r>
        <w:t xml:space="preserve"> </w:t>
      </w:r>
      <w:r>
        <w:t xml:space="preserve">to innovate beyond conventional building practices.</w:t>
      </w:r>
    </w:p>
    <w:bookmarkEnd w:id="20"/>
    <w:bookmarkStart w:id="21" w:name="arch"/>
    <w:p>
      <w:pPr>
        <w:pStyle w:val="Heading2"/>
      </w:pPr>
      <w:r>
        <w:t xml:space="preserve">2. The Challenge: Balancing Heritage with Modernity</w:t>
      </w:r>
    </w:p>
    <w:p>
      <w:pPr>
        <w:pStyle w:val="FirstParagraph"/>
      </w:pPr>
      <w:r>
        <w:t xml:space="preserve">The site in question featured Grade II listed brick warehouses adjacent to the historic Birmingham Canal Navigations. The core challenge for the</w:t>
      </w:r>
      <w:r>
        <w:t xml:space="preserve"> </w:t>
      </w:r>
      <w:hyperlink w:anchor="X329c7ceeee07ceefb0a83b56888e69e27f7b093">
        <w:r>
          <w:rPr>
            <w:rStyle w:val="Hyperlink"/>
          </w:rPr>
          <w:t xml:space="preserve">United Kingdom Birmingham</w:t>
        </w:r>
      </w:hyperlink>
      <w:r>
        <w:t xml:space="preserve"> </w:t>
      </w:r>
      <w:r>
        <w:t xml:space="preserve">region experiences distinct seasonal variations requiring efficient passive design strategies. Furthermore, the local planning authorities in</w:t>
      </w:r>
      <w:r>
        <w:t xml:space="preserve"> </w:t>
      </w:r>
      <w:hyperlink w:anchor="top">
        <w:r>
          <w:rPr>
            <w:rStyle w:val="Hyperlink"/>
          </w:rPr>
          <w:t xml:space="preserve">United Kingdom Birmingham</w:t>
        </w:r>
      </w:hyperlink>
      <w:r>
        <w:t xml:space="preserve"> </w:t>
      </w:r>
      <w:r>
        <w:t xml:space="preserve">are increasingly stringent regarding visual impact on the skyline and pedestrian flow. The</w:t>
      </w:r>
      <w:r>
        <w:t xml:space="preserve"> </w:t>
      </w:r>
      <w:hyperlink w:anchor="arch">
        <w:r>
          <w:rPr>
            <w:rStyle w:val="Hyperlink"/>
          </w:rPr>
          <w:t xml:space="preserve">Architect</w:t>
        </w:r>
      </w:hyperlink>
      <w:r>
        <w:t xml:space="preserve"> </w:t>
      </w:r>
      <w:r>
        <w:t xml:space="preserve">faced the difficult task of integrating high-density residential units without overshadowing public spaces or disrupting the sightlines that define the city’s historic character.</w:t>
      </w:r>
    </w:p>
    <w:bookmarkEnd w:id="21"/>
    <w:bookmarkStart w:id="25" w:name="methodology-and-architectural-strategy"/>
    <w:p>
      <w:pPr>
        <w:pStyle w:val="Heading2"/>
      </w:pPr>
      <w:r>
        <w:t xml:space="preserve">3. Methodology and Architectural Strategy</w:t>
      </w:r>
    </w:p>
    <w:bookmarkStart w:id="22" w:name="adaptive-reuse-and-materiality"/>
    <w:p>
      <w:pPr>
        <w:pStyle w:val="Heading3"/>
      </w:pPr>
      <w:r>
        <w:t xml:space="preserve">3.1 Adaptive Reuse and Materiality</w:t>
      </w:r>
    </w:p>
    <w:p>
      <w:pPr>
        <w:pStyle w:val="FirstParagraph"/>
      </w:pPr>
      <w:r>
        <w:t xml:space="preserve">The chosen strategy was adaptive reuse, a methodology favored by any forward-thinking</w:t>
      </w:r>
      <w:r>
        <w:t xml:space="preserve"> </w:t>
      </w:r>
      <w:hyperlink w:anchor="arch">
        <w:r>
          <w:rPr>
            <w:rStyle w:val="Hyperlink"/>
          </w:rPr>
          <w:t xml:space="preserve">Architect</w:t>
        </w:r>
      </w:hyperlink>
      <w:r>
        <w:t xml:space="preserve"> </w:t>
      </w:r>
      <w:r>
        <w:t xml:space="preserve">working in historic urban centers. Rather than demolishing the existing structures, the team retained the original brick facades and steel trusses. New internal structures were constructed using cross-laminated timber (CLT), a sustainable material that significantly reduces the carbon footprint compared to traditional concrete.</w:t>
      </w:r>
    </w:p>
    <w:p>
      <w:pPr>
        <w:pStyle w:val="BodyText"/>
      </w:pPr>
      <w:r>
        <w:t xml:space="preserve">In</w:t>
      </w:r>
      <w:r>
        <w:t xml:space="preserve"> </w:t>
      </w:r>
      <w:hyperlink w:anchor="top">
        <w:r>
          <w:rPr>
            <w:rStyle w:val="Hyperlink"/>
          </w:rPr>
          <w:t xml:space="preserve">United Kingdom Birmingham</w:t>
        </w:r>
      </w:hyperlink>
      <w:r>
        <w:t xml:space="preserve">, sourcing materials locally was crucial to reduce transportation emissions. The project utilized reclaimed brick from other demolition sites within the West Midlands, creating a visual continuity with the surrounding architecture. This approach not only honored the local history but also appealed to community stakeholders who value authenticity in urban regeneration projects.</w:t>
      </w:r>
    </w:p>
    <w:bookmarkEnd w:id="22"/>
    <w:bookmarkStart w:id="23" w:name="passive-design-and-energy-efficiency"/>
    <w:p>
      <w:pPr>
        <w:pStyle w:val="Heading3"/>
      </w:pPr>
      <w:r>
        <w:t xml:space="preserve">3.2 Passive Design and Energy Efficiency</w:t>
      </w:r>
    </w:p>
    <w:p>
      <w:pPr>
        <w:pStyle w:val="FirstParagraph"/>
      </w:pPr>
      <w:r>
        <w:t xml:space="preserve">To meet the rigorous energy standards set for developments in</w:t>
      </w:r>
      <w:r>
        <w:t xml:space="preserve"> </w:t>
      </w:r>
      <w:hyperlink w:anchor="top">
        <w:r>
          <w:rPr>
            <w:rStyle w:val="Hyperlink"/>
          </w:rPr>
          <w:t xml:space="preserve">United Kingdom Birmingham</w:t>
        </w:r>
      </w:hyperlink>
      <w:r>
        <w:t xml:space="preserve">, the</w:t>
      </w:r>
      <w:r>
        <w:t xml:space="preserve"> </w:t>
      </w:r>
      <w:hyperlink w:anchor="arch">
        <w:r>
          <w:rPr>
            <w:rStyle w:val="Hyperlink"/>
          </w:rPr>
          <w:t xml:space="preserve">Architect</w:t>
        </w:r>
      </w:hyperlink>
      <w:r>
        <w:t xml:space="preserve"> </w:t>
      </w:r>
      <w:r>
        <w:t xml:space="preserve">implemented a passive house-inspired design. This included high-performance glazing, advanced air-tightness measures, and thermal bridge-free detailing. The orientation of the new builds was carefully calculated to maximize solar gain during winter months while using overhangs to prevent overheating in summer.</w:t>
      </w:r>
    </w:p>
    <w:p>
      <w:pPr>
        <w:pStyle w:val="BodyText"/>
      </w:pPr>
      <w:r>
        <w:t xml:space="preserve">A key feature was the integration of a district heating system powered by waste heat from nearby commercial centers. This technical solution required close collaboration between the</w:t>
      </w:r>
      <w:r>
        <w:t xml:space="preserve"> </w:t>
      </w:r>
      <w:hyperlink w:anchor="arch">
        <w:r>
          <w:rPr>
            <w:rStyle w:val="Hyperlink"/>
          </w:rPr>
          <w:t xml:space="preserve">Architect</w:t>
        </w:r>
      </w:hyperlink>
      <w:r>
        <w:t xml:space="preserve">, MEP (Mechanical, Electrical, and Plumbing) engineers, and local utility providers. The result is a building that operates at nearly zero operational carbon, setting a benchmark for future projects in</w:t>
      </w:r>
      <w:r>
        <w:t xml:space="preserve"> </w:t>
      </w:r>
      <w:hyperlink w:anchor="top">
        <w:r>
          <w:rPr>
            <w:rStyle w:val="Hyperlink"/>
          </w:rPr>
          <w:t xml:space="preserve">United Kingdom Birmingham</w:t>
        </w:r>
      </w:hyperlink>
      <w:r>
        <w:t xml:space="preserve">.</w:t>
      </w:r>
    </w:p>
    <w:bookmarkEnd w:id="23"/>
    <w:bookmarkStart w:id="24" w:name="community-centric-design"/>
    <w:p>
      <w:pPr>
        <w:pStyle w:val="Heading3"/>
      </w:pPr>
      <w:r>
        <w:t xml:space="preserve">3.3 Community-Centric Design</w:t>
      </w:r>
    </w:p>
    <w:p>
      <w:pPr>
        <w:pStyle w:val="FirstParagraph"/>
      </w:pPr>
      <w:r>
        <w:t xml:space="preserve">An effective</w:t>
      </w:r>
      <w:r>
        <w:t xml:space="preserve"> </w:t>
      </w:r>
      <w:hyperlink w:anchor="arch">
        <w:r>
          <w:rPr>
            <w:rStyle w:val="Hyperlink"/>
          </w:rPr>
          <w:t xml:space="preserve">Architect</w:t>
        </w:r>
      </w:hyperlink>
      <w:r>
        <w:t xml:space="preserve"> </w:t>
      </w:r>
      <w:r>
        <w:t xml:space="preserve">must also consider the social implications of their work. In this case, the ground floor was deliberately left open to create public plazas and retail spaces accessible to all residents and visitors. The design included a rooftop garden that serves as a communal space for residents, fostering a sense of community in an area that had previously been isolated due to industrial blight.</w:t>
      </w:r>
    </w:p>
    <w:bookmarkEnd w:id="24"/>
    <w:bookmarkEnd w:id="25"/>
    <w:bookmarkStart w:id="26" w:name="X520336f12dc8d498ed2280e437993000e7d1e5d"/>
    <w:p>
      <w:pPr>
        <w:pStyle w:val="Heading2"/>
      </w:pPr>
      <w:r>
        <w:t xml:space="preserve">4. Implementation and Stakeholder Engagement</w:t>
      </w:r>
    </w:p>
    <w:p>
      <w:pPr>
        <w:pStyle w:val="FirstParagraph"/>
      </w:pPr>
      <w:r>
        <w:t xml:space="preserve">The implementation phase highlighted the critical role of the</w:t>
      </w:r>
      <w:r>
        <w:t xml:space="preserve"> </w:t>
      </w:r>
      <w:hyperlink w:anchor="arch">
        <w:r>
          <w:rPr>
            <w:rStyle w:val="Hyperlink"/>
          </w:rPr>
          <w:t xml:space="preserve">Architect</w:t>
        </w:r>
      </w:hyperlink>
      <w:r>
        <w:t xml:space="preserve"> </w:t>
      </w:r>
      <w:r>
        <w:t xml:space="preserve">as a coordinator. Working within</w:t>
      </w:r>
      <w:r>
        <w:t xml:space="preserve"> </w:t>
      </w:r>
      <w:hyperlink w:anchor="top">
        <w:r>
          <w:rPr>
            <w:rStyle w:val="Hyperlink"/>
          </w:rPr>
          <w:t xml:space="preserve">United Kingdom Birmingham</w:t>
        </w:r>
      </w:hyperlink>
      <w:r>
        <w:t xml:space="preserve">, the team engaged with a diverse range of stakeholders, including local residents, historical preservation societies, and private investors. Regular town hall meetings were held to ensure that the voices of the community were heard.</w:t>
      </w:r>
    </w:p>
    <w:p>
      <w:pPr>
        <w:pStyle w:val="BodyText"/>
      </w:pPr>
      <w:r>
        <w:t xml:space="preserve">One significant conflict arose regarding the height of a proposed extension. The local community feared it would dominate their views. Through iterative modeling and transparent communication by the</w:t>
      </w:r>
      <w:r>
        <w:t xml:space="preserve"> </w:t>
      </w:r>
      <w:hyperlink w:anchor="arch">
        <w:r>
          <w:rPr>
            <w:rStyle w:val="Hyperlink"/>
          </w:rPr>
          <w:t xml:space="preserve">Architect</w:t>
        </w:r>
      </w:hyperlink>
      <w:r>
        <w:t xml:space="preserve">, a compromise was reached where the extension was set back and stepped down, reducing its visual mass while maintaining necessary floor area for housing. This outcome demonstrated how architectural negotiation can resolve conflicts in densely populated urban environments like</w:t>
      </w:r>
      <w:r>
        <w:t xml:space="preserve"> </w:t>
      </w:r>
      <w:hyperlink w:anchor="top">
        <w:r>
          <w:rPr>
            <w:rStyle w:val="Hyperlink"/>
          </w:rPr>
          <w:t xml:space="preserve">United Kingdom Birmingham</w:t>
        </w:r>
      </w:hyperlink>
      <w:r>
        <w:t xml:space="preserve">.</w:t>
      </w:r>
    </w:p>
    <w:bookmarkEnd w:id="26"/>
    <w:bookmarkStart w:id="27" w:name="outcomes-and-impact"/>
    <w:p>
      <w:pPr>
        <w:pStyle w:val="Heading2"/>
      </w:pPr>
      <w:r>
        <w:t xml:space="preserve">5. Outcomes and Impact</w:t>
      </w:r>
    </w:p>
    <w:p>
      <w:pPr>
        <w:pStyle w:val="FirstParagraph"/>
      </w:pPr>
      <w:r>
        <w:t xml:space="preserve">The completion of The Canal Quarter Revitalization has had a profound impact on the local area. Property values in the vicinity have increased, stimulating further private investment. More importantly, the project has been hailed as a model for sustainable urban living in</w:t>
      </w:r>
      <w:r>
        <w:t xml:space="preserve"> </w:t>
      </w:r>
      <w:hyperlink w:anchor="top">
        <w:r>
          <w:rPr>
            <w:rStyle w:val="Hyperlink"/>
          </w:rPr>
          <w:t xml:space="preserve">United Kingdom Birmingham</w:t>
        </w:r>
      </w:hyperlink>
      <w:r>
        <w:t xml:space="preserve">.</w:t>
      </w:r>
    </w:p>
    <w:p>
      <w:pPr>
        <w:numPr>
          <w:ilvl w:val="0"/>
          <w:numId w:val="1001"/>
        </w:numPr>
        <w:pStyle w:val="Compact"/>
      </w:pPr>
      <w:r>
        <w:rPr>
          <w:bCs/>
          <w:b/>
        </w:rPr>
        <w:t xml:space="preserve">Sustainability:</w:t>
      </w:r>
      <w:r>
        <w:t xml:space="preserve"> </w:t>
      </w:r>
      <w:r>
        <w:t xml:space="preserve">The buildings achieved an EPC (Energy Performance Certificate) rating of A, significantly outperforming standard new builds in the region.</w:t>
      </w:r>
    </w:p>
    <w:p>
      <w:pPr>
        <w:numPr>
          <w:ilvl w:val="0"/>
          <w:numId w:val="1001"/>
        </w:numPr>
        <w:pStyle w:val="Compact"/>
      </w:pPr>
      <w:r>
        <w:rPr>
          <w:bCs/>
          <w:b/>
        </w:rPr>
        <w:t xml:space="preserve">Social Cohesion:</w:t>
      </w:r>
      <w:r>
        <w:t xml:space="preserve"> </w:t>
      </w:r>
      <w:r>
        <w:t xml:space="preserve">Surveys indicate that 85% of new residents feel connected to their neighbors, a direct result of the communal spaces designed by the</w:t>
      </w:r>
      <w:r>
        <w:t xml:space="preserve"> </w:t>
      </w:r>
      <w:hyperlink w:anchor="arch">
        <w:r>
          <w:rPr>
            <w:rStyle w:val="Hyperlink"/>
          </w:rPr>
          <w:t xml:space="preserve">Architect</w:t>
        </w:r>
      </w:hyperlink>
      <w:r>
        <w:t xml:space="preserve">.</w:t>
      </w:r>
    </w:p>
    <w:p>
      <w:pPr>
        <w:numPr>
          <w:ilvl w:val="0"/>
          <w:numId w:val="1001"/>
        </w:numPr>
        <w:pStyle w:val="Compact"/>
      </w:pPr>
      <w:r>
        <w:rPr>
          <w:bCs/>
          <w:b/>
        </w:rPr>
        <w:t xml:space="preserve">Economic Viability:</w:t>
      </w:r>
      <w:r>
        <w:t xml:space="preserve"> </w:t>
      </w:r>
      <w:r>
        <w:t xml:space="preserve">The ground-floor retail units are fully occupied, providing essential services and jobs for the local population.</w:t>
      </w:r>
    </w:p>
    <w:p>
      <w:pPr>
        <w:pStyle w:val="FirstParagraph"/>
      </w:pPr>
      <w:r>
        <w:t xml:space="preserve">The success of this project has positioned it as a reference point for other regeneration efforts across</w:t>
      </w:r>
      <w:r>
        <w:t xml:space="preserve"> </w:t>
      </w:r>
      <w:hyperlink w:anchor="top">
        <w:r>
          <w:rPr>
            <w:rStyle w:val="Hyperlink"/>
          </w:rPr>
          <w:t xml:space="preserve">United Kingdom Birmingham</w:t>
        </w:r>
      </w:hyperlink>
      <w:r>
        <w:t xml:space="preserve">. It proves that high-density development does not have to come at the expense of heritage or environmental responsibility.</w:t>
      </w:r>
    </w:p>
    <w:bookmarkEnd w:id="27"/>
    <w:bookmarkStart w:id="28" w:name="lessons-learned-and-future-implications"/>
    <w:p>
      <w:pPr>
        <w:pStyle w:val="Heading2"/>
      </w:pPr>
      <w:r>
        <w:t xml:space="preserve">6. Lessons Learned and Future Implications</w:t>
      </w:r>
    </w:p>
    <w:p>
      <w:pPr>
        <w:pStyle w:val="FirstParagraph"/>
      </w:pPr>
      <w:r>
        <w:t xml:space="preserve">This case study underscores several key lessons for any</w:t>
      </w:r>
      <w:r>
        <w:t xml:space="preserve"> </w:t>
      </w:r>
      <w:hyperlink w:anchor="arch">
        <w:r>
          <w:rPr>
            <w:rStyle w:val="Hyperlink"/>
          </w:rPr>
          <w:t xml:space="preserve">Architect</w:t>
        </w:r>
      </w:hyperlink>
      <w:r>
        <w:t xml:space="preserve"> </w:t>
      </w:r>
      <w:r>
        <w:t xml:space="preserve">operating in similar contexts. Firstly, early engagement with local planning authorities is non-negotiable in cities like Birmingham, where heritage constraints are tight. Secondly, the integration of sustainable technologies must be part of the conceptual design phase, not an afterthought.</w:t>
      </w:r>
    </w:p>
    <w:p>
      <w:pPr>
        <w:pStyle w:val="BodyText"/>
      </w:pPr>
      <w:r>
        <w:t xml:space="preserve">Furthermore, the case highlights that a successful</w:t>
      </w:r>
      <w:r>
        <w:t xml:space="preserve"> </w:t>
      </w:r>
      <w:hyperlink w:anchor="arch">
        <w:r>
          <w:rPr>
            <w:rStyle w:val="Hyperlink"/>
          </w:rPr>
          <w:t xml:space="preserve">Architect</w:t>
        </w:r>
      </w:hyperlink>
      <w:r>
        <w:t xml:space="preserve"> </w:t>
      </w:r>
      <w:r>
        <w:t xml:space="preserve">must act as a facilitator between technical requirements and human needs. In</w:t>
      </w:r>
      <w:r>
        <w:t xml:space="preserve"> </w:t>
      </w:r>
      <w:hyperlink w:anchor="top">
        <w:r>
          <w:rPr>
            <w:rStyle w:val="Hyperlink"/>
          </w:rPr>
          <w:t xml:space="preserve">United Kingdom Birmingham</w:t>
        </w:r>
      </w:hyperlink>
      <w:r>
        <w:t xml:space="preserve">, where diversity is a defining characteristic of the population, inclusive design principles are essential for creating spaces that are truly welcoming.</w:t>
      </w:r>
    </w:p>
    <w:bookmarkEnd w:id="28"/>
    <w:bookmarkStart w:id="29" w:name="conclusion"/>
    <w:p>
      <w:pPr>
        <w:pStyle w:val="Heading2"/>
      </w:pPr>
      <w:r>
        <w:t xml:space="preserve">7. Conclusion</w:t>
      </w:r>
    </w:p>
    <w:p>
      <w:pPr>
        <w:pStyle w:val="FirstParagraph"/>
      </w:pPr>
      <w:r>
        <w:t xml:space="preserve">The Canal Quarter Revitalization stands as a testament to the power of visionary architecture in driving urban regeneration. By carefully balancing historical respect with modern innovation, the project demonstrates how an</w:t>
      </w:r>
      <w:r>
        <w:t xml:space="preserve"> </w:t>
      </w:r>
      <w:hyperlink w:anchor="arch">
        <w:r>
          <w:rPr>
            <w:rStyle w:val="Hyperlink"/>
          </w:rPr>
          <w:t xml:space="preserve">Architect</w:t>
        </w:r>
      </w:hyperlink>
      <w:r>
        <w:t xml:space="preserve"> </w:t>
      </w:r>
      <w:r>
        <w:t xml:space="preserve">can contribute significantly to the cultural and environmental health of a city. For stakeholders looking at future developments in</w:t>
      </w:r>
      <w:r>
        <w:t xml:space="preserve"> </w:t>
      </w:r>
      <w:hyperlink w:anchor="top">
        <w:r>
          <w:rPr>
            <w:rStyle w:val="Hyperlink"/>
          </w:rPr>
          <w:t xml:space="preserve">United Kingdom Birmingham</w:t>
        </w:r>
      </w:hyperlink>
      <w:r>
        <w:t xml:space="preserve">, this case study offers a clear blueprint: sustainability is not just a regulatory hurdle but an opportunity for design excellence that benefits everyone.</w:t>
      </w:r>
    </w:p>
    <w:p>
      <w:pPr>
        <w:pStyle w:val="BodyText"/>
      </w:pPr>
      <w:r>
        <w:t xml:space="preserve">As Birmingham continues to grow as the economic engine of the Midlands, the role of the professional</w:t>
      </w:r>
      <w:r>
        <w:t xml:space="preserve"> </w:t>
      </w:r>
      <w:hyperlink w:anchor="arch">
        <w:r>
          <w:rPr>
            <w:rStyle w:val="Hyperlink"/>
          </w:rPr>
          <w:t xml:space="preserve">Architect</w:t>
        </w:r>
      </w:hyperlink>
      <w:r>
        <w:t xml:space="preserve"> </w:t>
      </w:r>
      <w:r>
        <w:t xml:space="preserve">remains pivotal. They are not merely designers of buildings but custodians of place, ensuring that urban growth in</w:t>
      </w:r>
      <w:r>
        <w:t xml:space="preserve"> </w:t>
      </w:r>
      <w:hyperlink w:anchor="top">
        <w:r>
          <w:rPr>
            <w:rStyle w:val="Hyperlink"/>
          </w:rPr>
          <w:t xml:space="preserve">United Kingdom Birmingham</w:t>
        </w:r>
      </w:hyperlink>
      <w:r>
        <w:t xml:space="preserve"> </w:t>
      </w:r>
      <w:r>
        <w:t xml:space="preserve">is inclusive, sustainable, and enduring.</w:t>
      </w:r>
    </w:p>
    <w:p>
      <w:pPr>
        <w:pStyle w:val="BodyText"/>
      </w:pPr>
      <w:r>
        <w:t xml:space="preserve">© 2023 Architectural Case Studies Archive.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Architectural Innovation in United Kingdom Birmingham</dc:title>
  <dc:creator/>
  <dc:language>en</dc:language>
  <cp:keywords/>
  <dcterms:created xsi:type="dcterms:W3CDTF">2026-07-29T05:43:03Z</dcterms:created>
  <dcterms:modified xsi:type="dcterms:W3CDTF">2026-07-29T05:43:03Z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