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Case</w:t>
      </w:r>
      <w:r>
        <w:t xml:space="preserve"> </w:t>
      </w:r>
      <w:r>
        <w:t xml:space="preserve">Study:</w:t>
      </w:r>
      <w:r>
        <w:t xml:space="preserve"> </w:t>
      </w:r>
      <w:r>
        <w:t xml:space="preserve">Germany</w:t>
      </w:r>
      <w:r>
        <w:t xml:space="preserve"> </w:t>
      </w:r>
      <w:r>
        <w:t xml:space="preserve">Frankfurt</w:t>
      </w:r>
    </w:p>
    <w:bookmarkStart w:id="30" w:name="X95e481310d94eb588437aefdc86d372b51c7719"/>
    <w:p>
      <w:pPr>
        <w:pStyle w:val="Heading1"/>
      </w:pPr>
      <w:r>
        <w:t xml:space="preserve">Astronomer Implementation in Germany Frankfurt: A Strategic Case Study</w:t>
      </w:r>
    </w:p>
    <w:p>
      <w:pPr>
        <w:pStyle w:val="FirstParagraph"/>
      </w:pPr>
      <w:r>
        <w:rPr>
          <w:bCs/>
          <w:b/>
        </w:rPr>
        <w:t xml:space="preserve">Date:</w:t>
      </w:r>
      <w:r>
        <w:t xml:space="preserve"> </w:t>
      </w:r>
      <w:r>
        <w:t xml:space="preserve">October 24, 2023</w:t>
      </w:r>
      <w:r>
        <w:br/>
      </w:r>
      <w:r>
        <w:rPr>
          <w:bCs/>
          <w:b/>
        </w:rPr>
        <w:t xml:space="preserve">Client:</w:t>
      </w:r>
      <w:r>
        <w:t xml:space="preserve"> </w:t>
      </w:r>
      <w:r>
        <w:t xml:space="preserve">Global FinTech Solutions GmbH</w:t>
      </w:r>
      <w:r>
        <w:br/>
      </w:r>
      <w:r>
        <w:rPr>
          <w:bCs/>
          <w:b/>
        </w:rPr>
        <w:t xml:space="preserve">Location:</w:t>
      </w:r>
      <w:r>
        <w:t xml:space="preserve"> </w:t>
      </w:r>
      <w:r>
        <w:t xml:space="preserve">Germany, Frankfurt am Main</w:t>
      </w:r>
    </w:p>
    <w:bookmarkStart w:id="20" w:name="X073d545d08a602ce0d7369a071c13cabe95ce45"/>
    <w:p>
      <w:pPr>
        <w:pStyle w:val="Heading3"/>
      </w:pPr>
      <w:r>
        <w:rPr>
          <w:iCs/>
          <w:i/>
        </w:rPr>
        <w:t xml:space="preserve">"In the heart of Europe's financial capital, precision and compliance are not just requirements; they are competitive advantages. By deploying Astronomer in Germany Frankfurt, we transformed our data infrastructure from a compliance bottleneck into a scalable engine for innovation."</w:t>
      </w:r>
    </w:p>
    <w:bookmarkEnd w:id="20"/>
    <w:bookmarkStart w:id="21" w:name="executive-summary"/>
    <w:p>
      <w:pPr>
        <w:pStyle w:val="Heading2"/>
      </w:pPr>
      <w:r>
        <w:t xml:space="preserve">Executive Summary</w:t>
      </w:r>
    </w:p>
    <w:p>
      <w:pPr>
        <w:pStyle w:val="FirstParagraph"/>
      </w:pPr>
      <w:r>
        <w:t xml:space="preserve">This case study explores the successful deployment of</w:t>
      </w:r>
      <w:r>
        <w:t xml:space="preserve"> </w:t>
      </w:r>
      <w:r>
        <w:rPr>
          <w:bCs/>
          <w:b/>
        </w:rPr>
        <w:t xml:space="preserve">Astronomer</w:t>
      </w:r>
      <w:r>
        <w:t xml:space="preserve">, the premier open-source platform for Apache Airflow, by a leading global financial technology firm. The primary objective was to modernize data pipelines while strictly adhering to rigorous European Union regulatory standards. The project was executed with a specific focus on hosting infrastructure within</w:t>
      </w:r>
      <w:r>
        <w:t xml:space="preserve"> </w:t>
      </w:r>
      <w:r>
        <w:rPr>
          <w:bCs/>
          <w:b/>
        </w:rPr>
        <w:t xml:space="preserve">Germany Frankfurt</w:t>
      </w:r>
      <w:r>
        <w:t xml:space="preserve">, ensuring data residency and low-latency processing critical for the financial sector. This document details how the integration of</w:t>
      </w:r>
      <w:r>
        <w:t xml:space="preserve"> </w:t>
      </w:r>
      <w:r>
        <w:rPr>
          <w:bCs/>
          <w:b/>
        </w:rPr>
        <w:t xml:space="preserve">Astronomer</w:t>
      </w:r>
      <w:r>
        <w:t xml:space="preserve"> </w:t>
      </w:r>
      <w:r>
        <w:t xml:space="preserve">in</w:t>
      </w:r>
      <w:r>
        <w:t xml:space="preserve"> </w:t>
      </w:r>
      <w:r>
        <w:rPr>
          <w:bCs/>
          <w:b/>
        </w:rPr>
        <w:t xml:space="preserve">Germany Frankfurt</w:t>
      </w:r>
      <w:r>
        <w:t xml:space="preserve"> </w:t>
      </w:r>
      <w:r>
        <w:t xml:space="preserve">resolved legacy challenges, enhanced operational transparency, and secured compliance.</w:t>
      </w:r>
    </w:p>
    <w:bookmarkEnd w:id="21"/>
    <w:bookmarkStart w:id="22" w:name="Xa2178a6ed0baab5929fd7d50f1b4f5fc20c1da2"/>
    <w:p>
      <w:pPr>
        <w:pStyle w:val="Heading2"/>
      </w:pPr>
      <w:r>
        <w:t xml:space="preserve">The Challenge: Legacy Systems and Compliance Risks</w:t>
      </w:r>
    </w:p>
    <w:p>
      <w:pPr>
        <w:pStyle w:val="FirstParagraph"/>
      </w:pPr>
      <w:r>
        <w:t xml:space="preserve">The client, a major player in the fintech space with headquarters located in the bustling business hub of</w:t>
      </w:r>
      <w:r>
        <w:t xml:space="preserve"> </w:t>
      </w:r>
      <w:r>
        <w:rPr>
          <w:bCs/>
          <w:b/>
        </w:rPr>
        <w:t xml:space="preserve">Germany Frankfurt</w:t>
      </w:r>
      <w:r>
        <w:t xml:space="preserve">, faced significant operational hurdles. Their legacy data orchestration tools were fragmented, leading to siloed information and inconsistent job execution. Furthermore, as a financial institution operating under strict regulatory oversight from bodies such as BaFin (Federal Financial Supervisory Authority), the client was under immense pressure to ensure that all data remained within sovereign borders.</w:t>
      </w:r>
    </w:p>
    <w:p>
      <w:pPr>
        <w:pStyle w:val="BodyText"/>
      </w:pPr>
      <w:r>
        <w:t xml:space="preserve">The existing infrastructure suffered from three critical issues:</w:t>
      </w:r>
    </w:p>
    <w:p>
      <w:pPr>
        <w:numPr>
          <w:ilvl w:val="0"/>
          <w:numId w:val="1001"/>
        </w:numPr>
        <w:pStyle w:val="Compact"/>
      </w:pPr>
      <w:r>
        <w:rPr>
          <w:bCs/>
          <w:b/>
        </w:rPr>
        <w:t xml:space="preserve">Data Residency Violations:</w:t>
      </w:r>
      <w:r>
        <w:t xml:space="preserve"> </w:t>
      </w:r>
      <w:r>
        <w:t xml:space="preserve">Previous cloud deployments inadvertently routed metadata through regions outside of the European Economic Area (EEA), risking non-compliance with GDPR and local German data protection laws.</w:t>
      </w:r>
    </w:p>
    <w:p>
      <w:pPr>
        <w:numPr>
          <w:ilvl w:val="0"/>
          <w:numId w:val="1001"/>
        </w:numPr>
        <w:pStyle w:val="Compact"/>
      </w:pPr>
      <w:r>
        <w:rPr>
          <w:bCs/>
          <w:b/>
        </w:rPr>
        <w:t xml:space="preserve">Lack of Observability:</w:t>
      </w:r>
      <w:r>
        <w:t xml:space="preserve"> </w:t>
      </w:r>
      <w:r>
        <w:t xml:space="preserve">Without a unified control plane, debugging failed ETL jobs was time-consuming. In a high-frequency trading environment where seconds matter, this latency resulted in delayed reporting and potential financial discrepancies.</w:t>
      </w:r>
    </w:p>
    <w:p>
      <w:pPr>
        <w:numPr>
          <w:ilvl w:val="0"/>
          <w:numId w:val="1001"/>
        </w:numPr>
        <w:pStyle w:val="Compact"/>
      </w:pPr>
      <w:r>
        <w:rPr>
          <w:bCs/>
          <w:b/>
        </w:rPr>
        <w:t xml:space="preserve">Scalability Bottlenecks:</w:t>
      </w:r>
      <w:r>
        <w:t xml:space="preserve"> </w:t>
      </w:r>
      <w:r>
        <w:t xml:space="preserve">The monolithic architecture could not handle the increasing volume of daily transactions processing through the</w:t>
      </w:r>
      <w:r>
        <w:t xml:space="preserve"> </w:t>
      </w:r>
      <w:r>
        <w:rPr>
          <w:bCs/>
          <w:b/>
        </w:rPr>
        <w:t xml:space="preserve">Astronomer</w:t>
      </w:r>
      <w:r>
        <w:t xml:space="preserve">-equivalent workflows, causing system instability during peak hours.</w:t>
      </w:r>
    </w:p>
    <w:bookmarkEnd w:id="22"/>
    <w:bookmarkStart w:id="26" w:name="X27cef12154c10a82317f2416d9372a3309db6b8"/>
    <w:p>
      <w:pPr>
        <w:pStyle w:val="Heading2"/>
      </w:pPr>
      <w:r>
        <w:t xml:space="preserve">The Solution: Deploying Astronomer in Germany Frankfurt</w:t>
      </w:r>
    </w:p>
    <w:p>
      <w:pPr>
        <w:pStyle w:val="FirstParagraph"/>
      </w:pPr>
      <w:r>
        <w:t xml:space="preserve">To address these challenges, the engineering team selected</w:t>
      </w:r>
      <w:r>
        <w:t xml:space="preserve"> </w:t>
      </w:r>
      <w:r>
        <w:rPr>
          <w:bCs/>
          <w:b/>
        </w:rPr>
        <w:t xml:space="preserve">Astronomer</w:t>
      </w:r>
      <w:r>
        <w:t xml:space="preserve"> </w:t>
      </w:r>
      <w:r>
        <w:t xml:space="preserve">as their orchestration platform. However, the standard global cloud offering was not sufficient. The solution required a highly customized deployment of Astronomer Software hosted on a private cloud infrastructure located specifically in the AWS or Azure regions designated for</w:t>
      </w:r>
      <w:r>
        <w:t xml:space="preserve"> </w:t>
      </w:r>
      <w:r>
        <w:rPr>
          <w:bCs/>
          <w:b/>
        </w:rPr>
        <w:t xml:space="preserve">Germany Frankfurt</w:t>
      </w:r>
      <w:r>
        <w:t xml:space="preserve">.</w:t>
      </w:r>
    </w:p>
    <w:bookmarkStart w:id="23" w:name="X943e057a6abedda11ddc644a5bbc5e1fe656cff"/>
    <w:p>
      <w:pPr>
        <w:pStyle w:val="Heading3"/>
      </w:pPr>
      <w:r>
        <w:t xml:space="preserve">1. Sovereign Data Control via Germany Frankfurt Infrastructure</w:t>
      </w:r>
    </w:p>
    <w:p>
      <w:pPr>
        <w:pStyle w:val="FirstParagraph"/>
      </w:pPr>
      <w:r>
        <w:t xml:space="preserve">The core of the strategy was leveraging the geographical location of the servers. By deploying Astronomer’s control plane and worker nodes in</w:t>
      </w:r>
      <w:r>
        <w:t xml:space="preserve"> </w:t>
      </w:r>
      <w:r>
        <w:rPr>
          <w:bCs/>
          <w:b/>
        </w:rPr>
        <w:t xml:space="preserve">Germany Frankfurt</w:t>
      </w:r>
      <w:r>
        <w:t xml:space="preserve">, the client ensured that all metadata, logs, and execution data remained within German jurisdiction. This decision was pivotal for passing rigorous security audits. The physical proximity to their core banking systems in</w:t>
      </w:r>
      <w:r>
        <w:t xml:space="preserve"> </w:t>
      </w:r>
      <w:r>
        <w:rPr>
          <w:bCs/>
          <w:b/>
        </w:rPr>
        <w:t xml:space="preserve">Germany Frankfurt</w:t>
      </w:r>
      <w:r>
        <w:t xml:space="preserve"> </w:t>
      </w:r>
      <w:r>
        <w:t xml:space="preserve">also reduced network latency, ensuring faster data synchronization between source systems and analytical databases.</w:t>
      </w:r>
    </w:p>
    <w:bookmarkEnd w:id="23"/>
    <w:bookmarkStart w:id="24" w:name="unified-orchestration-with-astronomer"/>
    <w:p>
      <w:pPr>
        <w:pStyle w:val="Heading3"/>
      </w:pPr>
      <w:r>
        <w:t xml:space="preserve">2. Unified Orchestration with Astronomer</w:t>
      </w:r>
    </w:p>
    <w:p>
      <w:pPr>
        <w:pStyle w:val="FirstParagraph"/>
      </w:pPr>
      <w:r>
        <w:rPr>
          <w:bCs/>
          <w:b/>
        </w:rPr>
        <w:t xml:space="preserve">Astronomer</w:t>
      </w:r>
      <w:r>
        <w:t xml:space="preserve"> </w:t>
      </w:r>
      <w:r>
        <w:t xml:space="preserve">provided a modern, container-based approach to managing Apache Airflow DAGs (Directed Acyclic Graphs). The implementation involved:</w:t>
      </w:r>
    </w:p>
    <w:p>
      <w:pPr>
        <w:numPr>
          <w:ilvl w:val="0"/>
          <w:numId w:val="1002"/>
        </w:numPr>
        <w:pStyle w:val="Compact"/>
      </w:pPr>
      <w:r>
        <w:rPr>
          <w:bCs/>
          <w:b/>
        </w:rPr>
        <w:t xml:space="preserve">Moving from Monolith to Microservices:</w:t>
      </w:r>
      <w:r>
        <w:t xml:space="preserve"> </w:t>
      </w:r>
      <w:r>
        <w:t xml:space="preserve">Using Astronomer’s CLI and registry capabilities, the team decomposed massive legacy jobs into smaller, modular Python packages. This allowed for independent scaling and testing of individual data components.</w:t>
      </w:r>
    </w:p>
    <w:p>
      <w:pPr>
        <w:numPr>
          <w:ilvl w:val="0"/>
          <w:numId w:val="1002"/>
        </w:numPr>
        <w:pStyle w:val="Compact"/>
      </w:pPr>
      <w:r>
        <w:rPr>
          <w:bCs/>
          <w:b/>
        </w:rPr>
        <w:t xml:space="preserve">Enhanced Monitoring:</w:t>
      </w:r>
      <w:r>
        <w:t xml:space="preserve"> </w:t>
      </w:r>
      <w:r>
        <w:t xml:space="preserve">The Astronomer dashboard offered real-time visibility into pipeline health. Engineers in</w:t>
      </w:r>
      <w:r>
        <w:t xml:space="preserve"> </w:t>
      </w:r>
      <w:r>
        <w:rPr>
          <w:bCs/>
          <w:b/>
        </w:rPr>
        <w:t xml:space="preserve">Germany Frankfurt</w:t>
      </w:r>
      <w:r>
        <w:t xml:space="preserve"> </w:t>
      </w:r>
      <w:r>
        <w:t xml:space="preserve">could instantly identify bottlenecks and retry failed tasks without needing deep access to the underlying Kubernetes clusters.</w:t>
      </w:r>
    </w:p>
    <w:p>
      <w:pPr>
        <w:numPr>
          <w:ilvl w:val="0"/>
          <w:numId w:val="1002"/>
        </w:numPr>
        <w:pStyle w:val="Compact"/>
      </w:pPr>
      <w:r>
        <w:rPr>
          <w:bCs/>
          <w:b/>
        </w:rPr>
        <w:t xml:space="preserve">Rigorous Access Controls:</w:t>
      </w:r>
      <w:r>
        <w:t xml:space="preserve"> </w:t>
      </w:r>
      <w:r>
        <w:t xml:space="preserve">Integrated with the client’s existing Active Directory, Astronomer enforced role-based access control (RBAC), ensuring that only authorized personnel in</w:t>
      </w:r>
      <w:r>
        <w:t xml:space="preserve"> </w:t>
      </w:r>
      <w:r>
        <w:rPr>
          <w:bCs/>
          <w:b/>
        </w:rPr>
        <w:t xml:space="preserve">Germany Frankfurt</w:t>
      </w:r>
      <w:r>
        <w:t xml:space="preserve"> </w:t>
      </w:r>
      <w:r>
        <w:t xml:space="preserve">could modify production pipelines.</w:t>
      </w:r>
    </w:p>
    <w:bookmarkEnd w:id="24"/>
    <w:bookmarkStart w:id="25" w:name="localized-support-and-development"/>
    <w:p>
      <w:pPr>
        <w:pStyle w:val="Heading3"/>
      </w:pPr>
      <w:r>
        <w:t xml:space="preserve">3. Localized Support and Development</w:t>
      </w:r>
    </w:p>
    <w:p>
      <w:pPr>
        <w:pStyle w:val="FirstParagraph"/>
      </w:pPr>
      <w:r>
        <w:t xml:space="preserve">The deployment team established a local operations center in</w:t>
      </w:r>
      <w:r>
        <w:t xml:space="preserve"> </w:t>
      </w:r>
      <w:r>
        <w:rPr>
          <w:bCs/>
          <w:b/>
        </w:rPr>
        <w:t xml:space="preserve">Germany Frankfurt</w:t>
      </w:r>
      <w:r>
        <w:t xml:space="preserve">. This proximity allowed for direct collaboration with Astronomer’s support engineers and internal DevOps teams. The cultural alignment and time-zone synchronization facilitated rapid incident response times, which is crucial for maintaining the uptime required by financial institutions.</w:t>
      </w:r>
    </w:p>
    <w:bookmarkEnd w:id="25"/>
    <w:bookmarkEnd w:id="26"/>
    <w:bookmarkStart w:id="27" w:name="the-results-measurable-impact"/>
    <w:p>
      <w:pPr>
        <w:pStyle w:val="Heading2"/>
      </w:pPr>
      <w:r>
        <w:t xml:space="preserve">The Results: Measurable Impact</w:t>
      </w:r>
    </w:p>
    <w:p>
      <w:pPr>
        <w:pStyle w:val="FirstParagraph"/>
      </w:pPr>
      <w:r>
        <w:t xml:space="preserve">Three months post-deployment of Astronomer in</w:t>
      </w:r>
      <w:r>
        <w:t xml:space="preserve"> </w:t>
      </w:r>
      <w:r>
        <w:rPr>
          <w:bCs/>
          <w:b/>
        </w:rPr>
        <w:t xml:space="preserve">Germany Frankfurt</w:t>
      </w:r>
      <w:r>
        <w:t xml:space="preserve">, the client reported transformative improvements across all key performance indicators (KPIs).</w:t>
      </w:r>
    </w:p>
    <w:p>
      <w:pPr>
        <w:numPr>
          <w:ilvl w:val="0"/>
          <w:numId w:val="1003"/>
        </w:numPr>
        <w:pStyle w:val="Compact"/>
      </w:pPr>
      <w:r>
        <w:rPr>
          <w:bCs/>
          <w:b/>
        </w:rPr>
        <w:t xml:space="preserve">100% Compliance:</w:t>
      </w:r>
      <w:r>
        <w:t xml:space="preserve"> </w:t>
      </w:r>
      <w:r>
        <w:t xml:space="preserve">The organization achieved full compliance with GDPR and BaFin regulations regarding data sovereignty. All data points confirmed to reside physically within the</w:t>
      </w:r>
      <w:r>
        <w:t xml:space="preserve"> </w:t>
      </w:r>
      <w:r>
        <w:rPr>
          <w:bCs/>
          <w:b/>
        </w:rPr>
        <w:t xml:space="preserve">Germany Frankfurt</w:t>
      </w:r>
      <w:r>
        <w:t xml:space="preserve"> </w:t>
      </w:r>
      <w:r>
        <w:t xml:space="preserve">region during external audits.</w:t>
      </w:r>
    </w:p>
    <w:p>
      <w:pPr>
        <w:numPr>
          <w:ilvl w:val="0"/>
          <w:numId w:val="1003"/>
        </w:numPr>
        <w:pStyle w:val="Compact"/>
      </w:pPr>
      <w:r>
        <w:rPr>
          <w:bCs/>
          <w:b/>
        </w:rPr>
        <w:t xml:space="preserve">Error Reduction:</w:t>
      </w:r>
      <w:r>
        <w:t xml:space="preserve"> </w:t>
      </w:r>
      <w:r>
        <w:t xml:space="preserve">Pipeline failure rates dropped by 45%. The improved observability features of Astronomer allowed engineers to proactively address issues before they impacted downstream reporting.</w:t>
      </w:r>
    </w:p>
    <w:p>
      <w:pPr>
        <w:numPr>
          <w:ilvl w:val="0"/>
          <w:numId w:val="1003"/>
        </w:numPr>
        <w:pStyle w:val="Compact"/>
      </w:pPr>
      <w:r>
        <w:rPr>
          <w:bCs/>
          <w:b/>
        </w:rPr>
        <w:t xml:space="preserve">Faster Time-to-Insight:</w:t>
      </w:r>
      <w:r>
        <w:t xml:space="preserve"> </w:t>
      </w:r>
      <w:r>
        <w:t xml:space="preserve">Data availability for business intelligence dashboards improved by 30%. The low-latency network connection between the Astronomer workers in</w:t>
      </w:r>
      <w:r>
        <w:t xml:space="preserve"> </w:t>
      </w:r>
      <w:r>
        <w:rPr>
          <w:bCs/>
          <w:b/>
        </w:rPr>
        <w:t xml:space="preserve">Germany Frankfurt</w:t>
      </w:r>
      <w:r>
        <w:t xml:space="preserve"> </w:t>
      </w:r>
      <w:r>
        <w:t xml:space="preserve">and the data warehouses accelerated the ETL process significantly.</w:t>
      </w:r>
    </w:p>
    <w:p>
      <w:pPr>
        <w:numPr>
          <w:ilvl w:val="0"/>
          <w:numId w:val="1003"/>
        </w:numPr>
        <w:pStyle w:val="Compact"/>
      </w:pPr>
      <w:r>
        <w:rPr>
          <w:bCs/>
          <w:b/>
        </w:rPr>
        <w:t xml:space="preserve">Operational Efficiency:</w:t>
      </w:r>
      <w:r>
        <w:t xml:space="preserve"> </w:t>
      </w:r>
      <w:r>
        <w:t xml:space="preserve">Developer onboarding time was cut in half. New engineers in</w:t>
      </w:r>
    </w:p>
    <w:p>
      <w:pPr>
        <w:numPr>
          <w:ilvl w:val="0"/>
          <w:numId w:val="1000"/>
        </w:numPr>
        <w:pStyle w:val="Compact"/>
      </w:pPr>
      <w:r>
        <w:t xml:space="preserve">Germany Frankfurt</w:t>
      </w:r>
    </w:p>
    <w:bookmarkEnd w:id="27"/>
    <w:bookmarkStart w:id="28" w:name="tech-stack-and-architecture-overview"/>
    <w:p>
      <w:pPr>
        <w:pStyle w:val="Heading2"/>
      </w:pPr>
      <w:r>
        <w:t xml:space="preserve">Tech Stack and Architecture Overview</w:t>
      </w:r>
    </w:p>
    <w:p>
      <w:pPr>
        <w:pStyle w:val="FirstParagraph"/>
      </w:pPr>
      <w:r>
        <w:t xml:space="preserve">The architecture relied on a Kubernetes-backed deployment of Astronomer Software. Key components included:</w:t>
      </w:r>
    </w:p>
    <w:p>
      <w:pPr>
        <w:numPr>
          <w:ilvl w:val="0"/>
          <w:numId w:val="1004"/>
        </w:numPr>
        <w:pStyle w:val="Compact"/>
      </w:pPr>
      <w:r>
        <w:rPr>
          <w:bCs/>
          <w:b/>
        </w:rPr>
        <w:t xml:space="preserve">Astronomer Software:</w:t>
      </w:r>
      <w:r>
        <w:t xml:space="preserve"> </w:t>
      </w:r>
      <w:r>
        <w:t xml:space="preserve">The core orchestration engine.</w:t>
      </w:r>
    </w:p>
    <w:p>
      <w:pPr>
        <w:numPr>
          <w:ilvl w:val="0"/>
          <w:numId w:val="1004"/>
        </w:numPr>
        <w:pStyle w:val="Compact"/>
      </w:pPr>
      <w:r>
        <w:rPr>
          <w:bCs/>
          <w:b/>
        </w:rPr>
        <w:t xml:space="preserve">Kubernetes Cluster (EKS/AKS):</w:t>
      </w:r>
      <w:r>
        <w:t xml:space="preserve"> </w:t>
      </w:r>
      <w:r>
        <w:t xml:space="preserve">Hosted in the eu-central-1 or similar Frankfurt region zones.</w:t>
      </w:r>
    </w:p>
    <w:p>
      <w:pPr>
        <w:numPr>
          <w:ilvl w:val="0"/>
          <w:numId w:val="1004"/>
        </w:numPr>
        <w:pStyle w:val="Compact"/>
      </w:pPr>
      <w:r>
        <w:rPr>
          <w:bCs/>
          <w:b/>
        </w:rPr>
        <w:t xml:space="preserve">Docker Containers:</w:t>
      </w:r>
      <w:r>
        <w:t xml:space="preserve"> </w:t>
      </w:r>
      <w:r>
        <w:t xml:space="preserve">Custom images for each ETL task, stored in a private registry within Germany.</w:t>
      </w:r>
    </w:p>
    <w:p>
      <w:pPr>
        <w:numPr>
          <w:ilvl w:val="0"/>
          <w:numId w:val="1004"/>
        </w:numPr>
        <w:pStyle w:val="Compact"/>
      </w:pPr>
      <w:r>
        <w:rPr>
          <w:bCs/>
          <w:b/>
        </w:rPr>
        <w:t xml:space="preserve">Grafana &amp; Prometheus:</w:t>
      </w:r>
      <w:r>
        <w:t xml:space="preserve"> </w:t>
      </w:r>
      <w:r>
        <w:t xml:space="preserve">Integrated into the Astronomer UI for advanced metrics visualization, hosted locally in Frankfurt.</w:t>
      </w:r>
    </w:p>
    <w:bookmarkEnd w:id="28"/>
    <w:bookmarkStart w:id="29" w:name="bafin-conclusion-and-future-outlook"/>
    <w:p>
      <w:pPr>
        <w:pStyle w:val="Heading2"/>
      </w:pPr>
      <w:r>
        <w:t xml:space="preserve">BaFin Conclusion and Future Outlook</w:t>
      </w:r>
    </w:p>
    <w:p>
      <w:pPr>
        <w:pStyle w:val="FirstParagraph"/>
      </w:pPr>
      <w:r>
        <w:t xml:space="preserve">This case study demonstrates that adopting modern data orchestration tools like</w:t>
      </w:r>
      <w:r>
        <w:t xml:space="preserve"> </w:t>
      </w:r>
      <w:r>
        <w:rPr>
          <w:bCs/>
          <w:b/>
        </w:rPr>
        <w:t xml:space="preserve">Astronomer</w:t>
      </w:r>
      <w:r>
        <w:t xml:space="preserve"> </w:t>
      </w:r>
      <w:r>
        <w:t xml:space="preserve">does not require compromising on strict regulatory compliance. By strategically hosting the infrastructure in</w:t>
      </w:r>
      <w:r>
        <w:t xml:space="preserve"> </w:t>
      </w:r>
      <w:r>
        <w:rPr>
          <w:bCs/>
          <w:b/>
        </w:rPr>
        <w:t xml:space="preserve">Germany Frankfurt</w:t>
      </w:r>
      <w:r>
        <w:t xml:space="preserve">, the client successfully balanced innovation with security.</w:t>
      </w:r>
    </w:p>
    <w:p>
      <w:pPr>
        <w:pStyle w:val="BodyText"/>
      </w:pPr>
      <w:r>
        <w:t xml:space="preserve">The success in this pilot project has led to a company-wide rollout. Other departments within the organization are now migrating their legacy workflows to Astronomer, leveraging the proven framework established in</w:t>
      </w:r>
      <w:r>
        <w:t xml:space="preserve"> </w:t>
      </w:r>
      <w:r>
        <w:rPr>
          <w:bCs/>
          <w:b/>
        </w:rPr>
        <w:t xml:space="preserve">Germany Frankfurt</w:t>
      </w:r>
      <w:r>
        <w:t xml:space="preserve">. As data volumes continue to grow, the scalability provided by this solution positions the client as a leader in agile, compliant financial technology.</w:t>
      </w:r>
    </w:p>
    <w:p>
      <w:pPr>
        <w:pStyle w:val="BodyText"/>
      </w:pPr>
      <w:r>
        <w:t xml:space="preserve">In conclusion, for organizations operating in highly regulated environments like those found in European finance, the combination of robust open-source software and strategic geographical deployment is key. The implementation of Astronomer in Germany Frankfurt stands as a benchmark for best practices in data engineering and regulatory adherence.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Case Study: Germany Frankfurt</dc:title>
  <dc:creator/>
  <dc:language>en</dc:language>
  <cp:keywords/>
  <dcterms:created xsi:type="dcterms:W3CDTF">2026-07-29T13:34:42Z</dcterms:created>
  <dcterms:modified xsi:type="dcterms:W3CDTF">2026-07-29T13:34:42Z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