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082b7c255bb89aab41575ea2f1e4e70c90b12f2"/>
    <w:p>
      <w:pPr>
        <w:pStyle w:val="Heading1"/>
      </w:pPr>
      <w:r>
        <w:t xml:space="preserve">Astronomer Case Study in the United Arab Emirates Abu Dhabi</w:t>
      </w:r>
    </w:p>
    <w:p>
      <w:pPr>
        <w:pStyle w:val="FirstParagraph"/>
      </w:pPr>
      <w:r>
        <w:t xml:space="preserve">This document presents a structured Case Study examining the professional integration, research methodology, and institutional impact of an Astronomer operating within the United Arab Emirates Abu Dhabi. As global scientific ecosystems increasingly prioritize regional specialization and cross-border collaboration, this Case Study provides a rigorous analytical framework for understanding how advanced astronomical research adapts to both arid environmental conditions and rapidly evolving academic infrastructure. The deliberate focus on an Astronomer situated in the United Arab Emirates Abu Dhabi allows this Case Study to explore unique operational dynamics, funding architectures, and knowledge dissemination pathways that define modern scientific practice in emerging innovation hubs.</w:t>
      </w:r>
    </w:p>
    <w:bookmarkStart w:id="20" w:name="X368ce02ac202238b616f6ae3af6755ef6e1acc0"/>
    <w:p>
      <w:pPr>
        <w:pStyle w:val="Heading2"/>
      </w:pPr>
      <w:r>
        <w:t xml:space="preserve">1. Background and Institutional Context of the Case Study</w:t>
      </w:r>
    </w:p>
    <w:p>
      <w:pPr>
        <w:pStyle w:val="FirstParagraph"/>
      </w:pPr>
      <w:r>
        <w:t xml:space="preserve">The foundation of this Case Study rests on the strategic transformation underway across the United Arab Emirates Abu Dhabi, where national policy has explicitly prioritized space sciences, astrophysics, and data-intensive research. Historically, desert environments have offered exceptional atmospheric transparency for celestial observation, yet they simultaneously demand specialized engineering solutions for instrument preservation and thermal regulation. This Case Study investigates how an Astronomer navigates this geographic duality while aligning with the United Arab Emirates Abu Dhabi’s broader vision of scientific self-sufficiency and international academic leadership. By documenting institutional partnerships, grant structures, and regulatory frameworks, this Case Study establishes a comprehensive backdrop for evaluating the Astronomer’s professional trajectory.</w:t>
      </w:r>
    </w:p>
    <w:p>
      <w:pPr>
        <w:pStyle w:val="BodyText"/>
      </w:pPr>
      <w:r>
        <w:t xml:space="preserve">Furthermore, the Case Study highlights how educational ecosystems in the United Arab Emirates Abu Dhabi have matured to support specialized research careers. Universities, research centers, and public-private initiatives now provide robust pipelines for talent development and resource allocation. Within this landscape, an Astronomer functions not merely as a solitary researcher but as a node within a coordinated scientific network. This Case Study maps those connections, demonstrating how the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United Arab Emirates Abu Dhabi</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