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China</w:t>
      </w:r>
      <w:r>
        <w:t xml:space="preserve"> </w:t>
      </w:r>
      <w:r>
        <w:t xml:space="preserve">Beijing</w:t>
      </w:r>
    </w:p>
    <w:bookmarkStart w:id="31" w:name="Xd4589bc13e02c3d7087a68a92aed22ec16dc538"/>
    <w:p>
      <w:pPr>
        <w:pStyle w:val="Heading1"/>
      </w:pPr>
      <w:r>
        <w:t xml:space="preserve">Case Study: Navigating the Complex Regulatory Landscape of China Beijing through Specialized Auditing</w:t>
      </w:r>
    </w:p>
    <w:p>
      <w:pPr>
        <w:pStyle w:val="FirstParagraph"/>
      </w:pPr>
      <w:r>
        <w:rPr>
          <w:bCs/>
          <w:b/>
        </w:rPr>
        <w:t xml:space="preserve">Date:</w:t>
      </w:r>
      <w:r>
        <w:t xml:space="preserve"> </w:t>
      </w:r>
      <w:r>
        <w:t xml:space="preserve">October 2023</w:t>
      </w:r>
      <w:r>
        <w:br/>
      </w:r>
      <w:r>
        <w:rPr>
          <w:bCs/>
          <w:b/>
        </w:rPr>
        <w:t xml:space="preserve">Territory:</w:t>
      </w:r>
      <w:r>
        <w:t xml:space="preserve"> </w:t>
      </w:r>
      <w:r>
        <w:t xml:space="preserve">Beijing, People’s Republic of China</w:t>
      </w:r>
      <w:r>
        <w:br/>
      </w:r>
      <w:r>
        <w:rPr>
          <w:bCs/>
          <w:b/>
        </w:rPr>
        <w:t xml:space="preserve">Status:</w:t>
      </w:r>
      <w:r>
        <w:t xml:space="preserve"> </w:t>
      </w:r>
      <w:r>
        <w:t xml:space="preserve">Confidential Corporate Analysis</w:t>
      </w:r>
    </w:p>
    <w:bookmarkStart w:id="20" w:name="executive-summary"/>
    <w:p>
      <w:pPr>
        <w:pStyle w:val="Heading2"/>
      </w:pPr>
      <w:r>
        <w:t xml:space="preserve">1. Executive Summary</w:t>
      </w:r>
    </w:p>
    <w:p>
      <w:pPr>
        <w:pStyle w:val="FirstParagraph"/>
      </w:pPr>
      <w:r>
        <w:t xml:space="preserve">In the rapidly evolving economic landscape of the twenty-first century, financial transparency and regulatory compliance have become paramount for multinational corporations operating in Asia. This case study examines the critical functions and challenges faced by an external Auditor operating within China Beijing, specifically focusing on a hypothetical multinational technology firm, "TechGlobal Inc." The document explores how a specialized Auditor serves as the bridge between Western accounting standards (such as US GAAP or IFRS) and the stringent, distinct regulatory framework of China Beijing. It highlights that in this jurisdiction, the role of an Auditor is not merely one of verification but also one of cultural mediation, legal navigation, and risk mitigation.</w:t>
      </w:r>
    </w:p>
    <w:bookmarkEnd w:id="20"/>
    <w:bookmarkStart w:id="21" w:name="background-the-context-of-china-beijing"/>
    <w:p>
      <w:pPr>
        <w:pStyle w:val="Heading2"/>
      </w:pPr>
      <w:r>
        <w:t xml:space="preserve">2. Background: The Context of China Beijing</w:t>
      </w:r>
    </w:p>
    <w:p>
      <w:pPr>
        <w:pStyle w:val="FirstParagraph"/>
      </w:pPr>
      <w:r>
        <w:t xml:space="preserve">Beijing stands as the political and economic heartland of China. For foreign entities, establishing a presence in China Beijing implies accessing a massive market but also navigating one of the most complex regulatory environments globally. The local government enforces rigorous data security laws, tax regulations, and corporate governance codes that differ significantly from those in Western markets.</w:t>
      </w:r>
    </w:p>
    <w:p>
      <w:pPr>
        <w:pStyle w:val="BodyText"/>
      </w:pPr>
      <w:r>
        <w:t xml:space="preserve">TechGlobal Inc., seeking to expand its manufacturing and R&amp;D operations in the Zhongguancun Science Park within China Beijing, required a robust audit strategy. The primary objective was to ensure compliance with both local Chinese laws and international reporting requirements. The complexity of the region demands an Auditor who possesses deep localized knowledge, as generic global audit protocols often fail to account for the nuances of local business practices in China Beijing.</w:t>
      </w:r>
    </w:p>
    <w:bookmarkEnd w:id="21"/>
    <w:bookmarkStart w:id="22" w:name="problem-statement"/>
    <w:p>
      <w:pPr>
        <w:pStyle w:val="Heading2"/>
      </w:pPr>
      <w:r>
        <w:t xml:space="preserve">3. Problem Statement</w:t>
      </w:r>
    </w:p>
    <w:p>
      <w:pPr>
        <w:pStyle w:val="FirstParagraph"/>
      </w:pPr>
      <w:r>
        <w:t xml:space="preserve">TechGlobal Inc. faced three primary challenges upon initiating its operations in China Beijing:</w:t>
      </w:r>
    </w:p>
    <w:p>
      <w:pPr>
        <w:numPr>
          <w:ilvl w:val="0"/>
          <w:numId w:val="1001"/>
        </w:numPr>
        <w:pStyle w:val="Compact"/>
      </w:pPr>
      <w:r>
        <w:rPr>
          <w:bCs/>
          <w:b/>
        </w:rPr>
        <w:t xml:space="preserve">Dual Reporting Standards:</w:t>
      </w:r>
      <w:r>
        <w:t xml:space="preserve">The company needed to produce financial statements compliant with IFRS for its global investors while simultaneously adhering to the Chinese Accounting Standards (CAS) mandated by local authorities.</w:t>
      </w:r>
    </w:p>
    <w:p>
      <w:pPr>
        <w:numPr>
          <w:ilvl w:val="0"/>
          <w:numId w:val="1001"/>
        </w:numPr>
        <w:pStyle w:val="Compact"/>
      </w:pPr>
      <w:r>
        <w:rPr>
          <w:bCs/>
          <w:b/>
        </w:rPr>
        <w:t xml:space="preserve">Data Sovereignty and Security:</w:t>
      </w:r>
      <w:r>
        <w:t xml:space="preserve">New regulations in China Beijing strictly control how financial data is stored and transferred across borders. The Auditor had to navigate these digital boundaries without compromising audit efficiency.</w:t>
      </w:r>
    </w:p>
    <w:p>
      <w:pPr>
        <w:numPr>
          <w:ilvl w:val="0"/>
          <w:numId w:val="1001"/>
        </w:numPr>
        <w:pStyle w:val="Compact"/>
      </w:pPr>
      <w:r>
        <w:rPr>
          <w:bCs/>
          <w:b/>
        </w:rPr>
        <w:t xml:space="preserve">Cultural and Operational Nuances:</w:t>
      </w:r>
      <w:r>
        <w:t xml:space="preserve">Differences in contract enforcement, revenue recognition practices, and informal business relationships (Guanxi) posed significant risks for standard auditing procedures.</w:t>
      </w:r>
    </w:p>
    <w:bookmarkEnd w:id="22"/>
    <w:bookmarkStart w:id="26" w:name="the-role-of-the-auditor-in-china-beijing"/>
    <w:p>
      <w:pPr>
        <w:pStyle w:val="Heading2"/>
      </w:pPr>
      <w:r>
        <w:t xml:space="preserve">4. The Role of the Auditor in China Beijing</w:t>
      </w:r>
    </w:p>
    <w:p>
      <w:pPr>
        <w:pStyle w:val="FirstParagraph"/>
      </w:pPr>
      <w:r>
        <w:t xml:space="preserve">To address these challenges, TechGlobal engaged a specialized firm with extensive experience in the China Beijing market. The engagement letter specifically defined the scope of the Auditor to include not just financial verification but also internal control evaluation and compliance auditing.</w:t>
      </w:r>
    </w:p>
    <w:bookmarkStart w:id="23" w:name="harmonizing-accounting-standards"/>
    <w:p>
      <w:pPr>
        <w:pStyle w:val="Heading3"/>
      </w:pPr>
      <w:r>
        <w:t xml:space="preserve">4.1 Harmonizing Accounting Standards</w:t>
      </w:r>
    </w:p>
    <w:p>
      <w:pPr>
        <w:pStyle w:val="FirstParagraph"/>
      </w:pPr>
      <w:r>
        <w:t xml:space="preserve">The most immediate task for the Auditor was to reconcile IFRS with CAS. In China Beijing, revenue recognition rules can differ based on local tax interpretations. The Auditor implemented a dual-ledger system initially to track transactions under both frameworks. This required rigorous reconciliation processes where the Auditor identified discrepancies arising from different definitions of "control" over assets and varying depreciation schedules for fixed assets common in Beijing’s industrial zones.</w:t>
      </w:r>
    </w:p>
    <w:bookmarkEnd w:id="23"/>
    <w:bookmarkStart w:id="24" w:name="navigating-data-localization-laws"/>
    <w:p>
      <w:pPr>
        <w:pStyle w:val="Heading3"/>
      </w:pPr>
      <w:r>
        <w:t xml:space="preserve">4.2 Navigating Data Localization Laws</w:t>
      </w:r>
    </w:p>
    <w:p>
      <w:pPr>
        <w:pStyle w:val="FirstParagraph"/>
      </w:pPr>
      <w:r>
        <w:t xml:space="preserve">A critical aspect of auditing in China Beijing is compliance with the Cybersecurity Law and the Personal Information Protection Law (PIPL). The Auditor could not simply download financial records to a server in Europe or the US. Instead, the Audit team had to establish secure, local data rooms within China Beijing. The Auditor was responsible for ensuring that any data transfer out of China complied with security assessments conducted by Cyberspace Administration of China (CAC) standards. This required close collaboration with legal counsel and IT security experts in Beijing.</w:t>
      </w:r>
    </w:p>
    <w:bookmarkEnd w:id="24"/>
    <w:bookmarkStart w:id="25" w:name="X1d42b5fcc52225f8c0aa79a8df335c5e5f0e707"/>
    <w:p>
      <w:pPr>
        <w:pStyle w:val="Heading3"/>
      </w:pPr>
      <w:r>
        <w:t xml:space="preserve">4.3 Assessing Internal Controls and Fraud Risks</w:t>
      </w:r>
    </w:p>
    <w:p>
      <w:pPr>
        <w:pStyle w:val="FirstParagraph"/>
      </w:pPr>
      <w:r>
        <w:t xml:space="preserve">In the dynamic business environment of China Beijing, rapid expansion often leads to weak internal controls. The Auditor performed detailed testing of key controls related to procurement and sales cycles. Special attention was paid to related-party transactions, a common area of concern in Chinese corporate structures. The Auditor verified that all contracts were executed at arm's length and that pricing mechanisms were transparent, mitigating the risk of regulatory scrutiny from local authorities.</w:t>
      </w:r>
    </w:p>
    <w:bookmarkEnd w:id="25"/>
    <w:bookmarkEnd w:id="26"/>
    <w:bookmarkStart w:id="27" w:name="implementation-challenges-and-solutions"/>
    <w:p>
      <w:pPr>
        <w:pStyle w:val="Heading2"/>
      </w:pPr>
      <w:r>
        <w:t xml:space="preserve">5. Implementation Challenges and Solutions</w:t>
      </w:r>
    </w:p>
    <w:p>
      <w:pPr>
        <w:pStyle w:val="FirstParagraph"/>
      </w:pPr>
      <w:r>
        <w:t xml:space="preserve">The audit process revealed several friction points unique to operating in China Beijing:</w:t>
      </w:r>
    </w:p>
    <w:p>
      <w:pPr>
        <w:pStyle w:val="BodyText"/>
      </w:pPr>
      <w:r>
        <w:rPr>
          <w:iCs/>
          <w:i/>
          <w:bCs/>
          <w:b/>
        </w:rPr>
        <w:t xml:space="preserve">Challenge 1: Language and Documentation</w:t>
      </w:r>
      <w:r>
        <w:br/>
      </w:r>
      <w:r>
        <w:t xml:space="preserve">Local invoices (Fapiao) are the primary proof of expenditure in China. The Auditor had to train international staff on the strict validation of Fapiao, as incorrect or missing Fapiao can lead to significant tax penalties in Beijing.</w:t>
      </w:r>
      <w:r>
        <w:br/>
      </w:r>
      <w:r>
        <w:br/>
      </w:r>
      <w:r>
        <w:rPr>
          <w:bCs/>
          <w:b/>
        </w:rPr>
        <w:t xml:space="preserve">Solution:</w:t>
      </w:r>
      <w:r>
        <w:t xml:space="preserve"> </w:t>
      </w:r>
      <w:r>
        <w:t xml:space="preserve">The Audit team implemented automated OCR software tailored for Chinese characters and trained local finance teams on proper issuance protocols.</w:t>
      </w:r>
    </w:p>
    <w:p>
      <w:pPr>
        <w:pStyle w:val="BodyText"/>
      </w:pPr>
      <w:r>
        <w:rPr>
          <w:iCs/>
          <w:i/>
          <w:bCs/>
          <w:b/>
        </w:rPr>
        <w:t xml:space="preserve">Challenge 2: Inventory Valuation</w:t>
      </w:r>
      <w:r>
        <w:br/>
      </w:r>
      <w:r>
        <w:t xml:space="preserve">Rapid changes in technology components meant that inventory obsolescence was a major risk. Standard write-off policies did not reflect the speed of depreciation in Beijing’s tech sector.</w:t>
      </w:r>
      <w:r>
        <w:br/>
      </w:r>
      <w:r>
        <w:br/>
      </w:r>
      <w:r>
        <w:rPr>
          <w:bCs/>
          <w:b/>
        </w:rPr>
        <w:t xml:space="preserve">Solution:</w:t>
      </w:r>
      <w:r>
        <w:t xml:space="preserve">The Auditor collaborated with supply chain managers to implement real-time inventory tracking systems, ensuring that provisions for obsolete stock were accurately calculated according to local market values.</w:t>
      </w:r>
    </w:p>
    <w:bookmarkEnd w:id="27"/>
    <w:bookmarkStart w:id="28" w:name="outcomes-and-impact"/>
    <w:p>
      <w:pPr>
        <w:pStyle w:val="Heading2"/>
      </w:pPr>
      <w:r>
        <w:t xml:space="preserve">6. Outcomes and Impact</w:t>
      </w:r>
    </w:p>
    <w:p>
      <w:pPr>
        <w:pStyle w:val="FirstParagraph"/>
      </w:pPr>
      <w:r>
        <w:t xml:space="preserve">Through the diligent work of the specialized Auditor, TechGlobal Inc. successfully completed its first full fiscal year audit in China Beijing without any material findings or qualifications. The outcomes included:</w:t>
      </w:r>
    </w:p>
    <w:p>
      <w:pPr>
        <w:numPr>
          <w:ilvl w:val="0"/>
          <w:numId w:val="1002"/>
        </w:numPr>
        <w:pStyle w:val="Compact"/>
      </w:pPr>
      <w:r>
        <w:rPr>
          <w:bCs/>
          <w:b/>
        </w:rPr>
        <w:t xml:space="preserve">Regulatory Compliance:</w:t>
      </w:r>
      <w:r>
        <w:t xml:space="preserve">The company received a clean compliance certificate from Beijing tax authorities, avoiding fines and ensuring smooth operations.</w:t>
      </w:r>
    </w:p>
    <w:p>
      <w:pPr>
        <w:numPr>
          <w:ilvl w:val="0"/>
          <w:numId w:val="1002"/>
        </w:numPr>
        <w:pStyle w:val="Compact"/>
      </w:pPr>
      <w:r>
        <w:rPr>
          <w:bCs/>
          <w:b/>
        </w:rPr>
        <w:t xml:space="preserve">Investor Confidence:</w:t>
      </w:r>
      <w:r>
        <w:t xml:space="preserve">The dual-compliant financial statements provided by the Auditor were accepted by global investors, facilitating a successful secondary bond issuance.</w:t>
      </w:r>
    </w:p>
    <w:p>
      <w:pPr>
        <w:numPr>
          <w:ilvl w:val="0"/>
          <w:numId w:val="1002"/>
        </w:numPr>
        <w:pStyle w:val="Compact"/>
      </w:pPr>
      <w:r>
        <w:rPr>
          <w:bCs/>
          <w:b/>
        </w:rPr>
        <w:t xml:space="preserve">Risk Mitigation:</w:t>
      </w:r>
      <w:r>
        <w:t xml:space="preserve">The internal control recommendations made by the Auditor led to a 40% reduction in operational discrepancies and improved overall governance structure.</w:t>
      </w:r>
    </w:p>
    <w:bookmarkEnd w:id="28"/>
    <w:bookmarkStart w:id="29" w:name="conclusion"/>
    <w:p>
      <w:pPr>
        <w:pStyle w:val="Heading2"/>
      </w:pPr>
      <w:r>
        <w:t xml:space="preserve">7. Conclusion</w:t>
      </w:r>
    </w:p>
    <w:p>
      <w:pPr>
        <w:pStyle w:val="FirstParagraph"/>
      </w:pPr>
      <w:r>
        <w:t xml:space="preserve">This case study underscores that an Auditor operating in China Beijing is far more than a financial verifier. They are strategic advisors who must possess a nuanced understanding of local laws, cultural business practices, and technological data constraints. For multinational corporations, engaging an Auditor with specific expertise in the China Beijing market is not just a regulatory requirement but a strategic imperative for sustainable growth and risk management.</w:t>
      </w:r>
    </w:p>
    <w:p>
      <w:pPr>
        <w:pStyle w:val="BodyText"/>
      </w:pPr>
      <w:r>
        <w:t xml:space="preserve">The complexity of the Chinese regulatory environment means that generic audit approaches are insufficient. The successful integration of local knowledge with global standards, facilitated by a competent Auditor, allows companies to thrive in one of the world’s most competitive economic hubs. As regulations in China Beijing continue to evolve, particularly regarding data security and ESG (Environmental, Social, and Governance) reporting, the role of the Auditor will only become more pivotal.</w:t>
      </w:r>
    </w:p>
    <w:bookmarkEnd w:id="29"/>
    <w:bookmarkStart w:id="30" w:name="recommendations-for-future-practice"/>
    <w:p>
      <w:pPr>
        <w:pStyle w:val="Heading2"/>
      </w:pPr>
      <w:r>
        <w:t xml:space="preserve">8. Recommendations for Future Practice</w:t>
      </w:r>
    </w:p>
    <w:p>
      <w:pPr>
        <w:numPr>
          <w:ilvl w:val="0"/>
          <w:numId w:val="1003"/>
        </w:numPr>
        <w:pStyle w:val="Compact"/>
      </w:pPr>
      <w:r>
        <w:rPr>
          <w:bCs/>
          <w:b/>
        </w:rPr>
        <w:t xml:space="preserve">Hire Local Experts:</w:t>
      </w:r>
      <w:r>
        <w:t xml:space="preserve">Clients should prioritize hiring Auditors with local qualifications (such as CICPA certification) and experience in Beijing-specific industries.</w:t>
      </w:r>
    </w:p>
    <w:p>
      <w:pPr>
        <w:numPr>
          <w:ilvl w:val="0"/>
          <w:numId w:val="1003"/>
        </w:numPr>
        <w:pStyle w:val="Compact"/>
      </w:pPr>
      <w:r>
        <w:rPr>
          <w:bCs/>
          <w:b/>
        </w:rPr>
        <w:t xml:space="preserve">Digital Integration:</w:t>
      </w:r>
      <w:r>
        <w:t xml:space="preserve">Firms must invest in audit technologies that comply with Chinese data sovereignty laws, ensuring seamless yet secure data processing.</w:t>
      </w:r>
    </w:p>
    <w:p>
      <w:pPr>
        <w:numPr>
          <w:ilvl w:val="0"/>
          <w:numId w:val="1003"/>
        </w:numPr>
        <w:pStyle w:val="Compact"/>
      </w:pPr>
      <w:r>
        <w:rPr>
          <w:bCs/>
          <w:b/>
        </w:rPr>
        <w:t xml:space="preserve">Continuous Monitoring:</w:t>
      </w:r>
      <w:r>
        <w:t xml:space="preserve">Audits should not be annual events but continuous processes to keep pace with the rapid regulatory changes in China Beijing.</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Role of the Auditor in China Beijing</dc:title>
  <dc:creator/>
  <dc:language>en</dc:language>
  <cp:keywords/>
  <dcterms:created xsi:type="dcterms:W3CDTF">2026-07-29T13:50:48Z</dcterms:created>
  <dcterms:modified xsi:type="dcterms:W3CDTF">2026-07-29T13:50:48Z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