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6fd5762933b391b5812291c19ee48fd7193b458"/>
    <w:p>
      <w:pPr>
        <w:pStyle w:val="Heading1"/>
      </w:pPr>
      <w:r>
        <w:t xml:space="preserve">CASE STUDY: Strategic Implementation of the Auditor Role in China Guangzhou</w:t>
      </w:r>
    </w:p>
    <w:bookmarkStart w:id="20" w:name="executive-summary"/>
    <w:p>
      <w:pPr>
        <w:pStyle w:val="Heading2"/>
      </w:pPr>
      <w:r>
        <w:t xml:space="preserve">Executive Summary</w:t>
      </w:r>
    </w:p>
    <w:p>
      <w:pPr>
        <w:pStyle w:val="FirstParagraph"/>
      </w:pPr>
      <w:r>
        <w:t xml:space="preserve">This document presents a comprehensive case study analyzing the pivotal role of the</w:t>
      </w:r>
      <w:r>
        <w:t xml:space="preserve"> </w:t>
      </w:r>
      <w:r>
        <w:rPr>
          <w:bCs/>
          <w:b/>
        </w:rPr>
        <w:t xml:space="preserve">Auditor</w:t>
      </w:r>
      <w:r>
        <w:t xml:space="preserve">China Guangzhou . As a global trade hub and the economic capital of Southern China, Guangzhou presents unique regulatory, cultural, and operational challenges. This study examines how specialized auditing functions navigate these complexities to ensure compliance, mitigate risk, and drive operational efficiency. The findings underscore that the traditional definition of an Auditor must evolve into a strategic partner role when operating within the dynamic business ecosystem of</w:t>
      </w:r>
      <w:r>
        <w:t xml:space="preserve"> </w:t>
      </w:r>
      <w:r>
        <w:rPr>
          <w:bCs/>
          <w:b/>
        </w:rPr>
        <w:t xml:space="preserve">China Guangzhou</w:t>
      </w:r>
      <w:r>
        <w:t xml:space="preserve">.</w:t>
      </w:r>
    </w:p>
    <w:bookmarkEnd w:id="20"/>
    <w:bookmarkStart w:id="21" w:name="Xccaa38ea471dc868eac14b6508ab7f95ea10824"/>
    <w:p>
      <w:pPr>
        <w:pStyle w:val="Heading2"/>
      </w:pPr>
      <w:r>
        <w:t xml:space="preserve">1. Introduction: The Context of China Guangzhou</w:t>
      </w:r>
    </w:p>
    <w:p>
      <w:pPr>
        <w:pStyle w:val="FirstParagraph"/>
      </w:pPr>
      <w:r>
        <w:t xml:space="preserve">Guangzhou, often referred to as the "Southern Gate" to China, serves as a critical node in global supply chains and international trade. Historically significant for its port activities and currently driven by high-tech manufacturing and service industries, the city offers a fertile ground for foreign investment. However this potential is accompanied by intricate layers of local regulations, rapid policy shifts, and distinct cultural business practices.</w:t>
      </w:r>
      <w:r>
        <w:t xml:space="preserve"> </w:t>
      </w:r>
      <w:r>
        <w:t xml:space="preserve">For multinational enterprises (MNEs), establishing operations in</w:t>
      </w:r>
      <w:r>
        <w:t xml:space="preserve"> </w:t>
      </w:r>
      <w:r>
        <w:rPr>
          <w:bCs/>
          <w:b/>
        </w:rPr>
        <w:t xml:space="preserve">China Guangzhou</w:t>
      </w:r>
      <w:r>
        <w:t xml:space="preserve"> </w:t>
      </w:r>
      <w:r>
        <w:t xml:space="preserve">requires more than just logistical planning; it demands rigorous internal controls and transparent reporting mechanisms. The role of the</w:t>
      </w:r>
      <w:r>
        <w:t xml:space="preserve"> </w:t>
      </w:r>
      <w:r>
        <w:rPr>
          <w:bCs/>
          <w:b/>
        </w:rPr>
        <w:t xml:space="preserve">Auditor becomes central to this endeavor, acting as the bridge between international corporate standards and local operational realities. This case study explores how an effective auditing framework can safeguard assets and ensure legal compliance in this specific geographic context.</w:t>
      </w:r>
    </w:p>
    <w:bookmarkEnd w:id="21"/>
    <w:bookmarkStart w:id="25" w:name="X97ddc6f849a91e39e7220b28f03cd06c5611469"/>
    <w:p>
      <w:pPr>
        <w:pStyle w:val="Heading2"/>
      </w:pPr>
      <w:r>
        <w:t xml:space="preserve">2The Evolving Role of the Auditor in Guangzhou</w:t>
      </w:r>
    </w:p>
    <w:p>
      <w:pPr>
        <w:pStyle w:val="FirstParagraph"/>
      </w:pPr>
      <w:r>
        <w:t xml:space="preserve">Historically, the function of an</w:t>
      </w:r>
      <w:r>
        <w:t xml:space="preserve"> </w:t>
      </w:r>
      <w:r>
        <w:rPr>
          <w:bCs/>
          <w:b/>
        </w:rPr>
        <w:t xml:space="preserve">Auditor was largely retrospective, focusing on financial verification post-factum. However recent trends in</w:t>
      </w:r>
      <w:r>
        <w:rPr>
          <w:bCs/>
          <w:b/>
        </w:rPr>
        <w:t xml:space="preserve"> </w:t>
      </w:r>
      <w:r>
        <w:rPr>
          <w:bCs/>
          <w:b/>
          <w:bCs/>
          <w:b/>
        </w:rPr>
        <w:t xml:space="preserve">China Guangzhou</w:t>
      </w:r>
    </w:p>
    <w:p>
      <w:pPr>
        <w:pStyle w:val="BodyText"/>
      </w:pPr>
      <w:r>
        <w:rPr>
          <w:bCs/>
          <w:b/>
        </w:rPr>
        <w:t xml:space="preserve">The Complexity of Chinese Tax Law:</w:t>
      </w:r>
      <w:r>
        <w:t xml:space="preserve"> </w:t>
      </w:r>
      <w:r>
        <w:t xml:space="preserve">The integration of Golden Tax Phase IV has digitized tax administration, requiring precise data accuracy that traditional annual audits cannot always provide in time.</w:t>
      </w:r>
    </w:p>
    <w:p>
      <w:pPr>
        <w:pStyle w:val="BodyText"/>
      </w:pPr>
      <w:r>
        <w:rPr>
          <w:bCs/>
          <w:b/>
        </w:rPr>
        <w:t xml:space="preserve">Evolving Regulatory Landscape:</w:t>
      </w:r>
      <w:r>
        <w:t xml:space="preserve"> </w:t>
      </w:r>
      <w:r>
        <w:t xml:space="preserve">Local authorities in Guangzhou frequently update compliance requirements regarding environmental protection, labor laws, and data security (such as the Personal Information Protection Law).</w:t>
      </w:r>
    </w:p>
    <w:p>
      <w:pPr>
        <w:pStyle w:val="BodyText"/>
      </w:pPr>
      <w:r>
        <w:t xml:space="preserve">In this context, the</w:t>
      </w:r>
    </w:p>
    <w:p>
      <w:pPr>
        <w:pStyle w:val="BodyText"/>
      </w:pPr>
      <w:r>
        <w:t xml:space="preserve">AuditorChina Guangzhou 3Case Scenario: The Audit Challenge in Manufacturing Sector</w:t>
      </w:r>
    </w:p>
    <w:p>
      <w:pPr>
        <w:pStyle w:val="BodyText"/>
      </w:pPr>
      <w:r>
        <w:t xml:space="preserve">To illustrate the practical application of these concepts, we examine a hypothetical case involving "GlobalTech Solutions," a multinational electronics manufacturer with a production facility in Panyu District,</w:t>
      </w:r>
      <w:r>
        <w:t xml:space="preserve"> </w:t>
      </w:r>
      <w:r>
        <w:rPr>
          <w:bCs/>
          <w:b/>
        </w:rPr>
        <w:t xml:space="preserve">China Guangzhou</w:t>
      </w:r>
      <w:r>
        <w:t xml:space="preserve"> </w:t>
      </w:r>
      <w:r>
        <w:t xml:space="preserve">. GlobalTech faced three distinct challenges that highlighted the necessity of an advanced auditing approach.</w:t>
      </w:r>
    </w:p>
    <w:bookmarkStart w:id="22" w:name="regulatory-compliance-and-data-integrity"/>
    <w:p>
      <w:pPr>
        <w:pStyle w:val="Heading3"/>
      </w:pPr>
      <w:r>
        <w:t xml:space="preserve">3.1 Regulatory Compliance and Data Integrity</w:t>
      </w:r>
    </w:p>
    <w:p>
      <w:pPr>
        <w:pStyle w:val="FirstParagraph"/>
      </w:pPr>
      <w:r>
        <w:t xml:space="preserve">GlobalTech’s local subsidiary struggled with disparate data systems between its headquarters overseas and its manufacturing plant in</w:t>
      </w:r>
      <w:r>
        <w:t xml:space="preserve"> </w:t>
      </w:r>
      <w:r>
        <w:rPr>
          <w:bCs/>
          <w:b/>
        </w:rPr>
        <w:t xml:space="preserve">China Guangzhou</w:t>
      </w:r>
      <w:r>
        <w:t xml:space="preserve"> </w:t>
      </w:r>
      <w:r>
        <w:t xml:space="preserve">. The initial audit revealed significant discrepancies in inventory reporting due to different accounting software standards. An on-site</w:t>
      </w:r>
      <w:r>
        <w:t xml:space="preserve"> </w:t>
      </w:r>
      <w:r>
        <w:rPr>
          <w:bCs/>
          <w:b/>
        </w:rPr>
        <w:t xml:space="preserve">Auditor was deployed not only to identify the errors but also to implement a unified data governance protocol. This intervention ensured that financial reports generated in Guangzhou were compliant with both local Chinese Accounting Standards (CAS) and International Financial Reporting Standards (IFRS).</w:t>
      </w:r>
    </w:p>
    <w:bookmarkEnd w:id="22"/>
    <w:bookmarkStart w:id="23" w:name="supply-chain-transparency"/>
    <w:p>
      <w:pPr>
        <w:pStyle w:val="Heading3"/>
      </w:pPr>
      <w:r>
        <w:t xml:space="preserve">3.2 Supply Chain Transparency</w:t>
      </w:r>
    </w:p>
    <w:p>
      <w:pPr>
        <w:pStyle w:val="FirstParagraph"/>
      </w:pPr>
      <w:r>
        <w:t xml:space="preserve">The electronics industry in</w:t>
      </w:r>
      <w:r>
        <w:t xml:space="preserve"> </w:t>
      </w:r>
      <w:r>
        <w:rPr>
          <w:bCs/>
          <w:b/>
        </w:rPr>
        <w:t xml:space="preserve">China Guangzhou AuditorChina Guangzhou</w:t>
      </w:r>
      <w:r>
        <w:t xml:space="preserve">.</w:t>
      </w:r>
    </w:p>
    <w:bookmarkEnd w:id="23"/>
    <w:bookmarkStart w:id="24" w:name="cultural-nuances-in-communication"/>
    <w:p>
      <w:pPr>
        <w:pStyle w:val="Heading3"/>
      </w:pPr>
      <w:r>
        <w:t xml:space="preserve">3.3 Cultural Nuances in Communication</w:t>
      </w:r>
    </w:p>
    <w:p>
      <w:pPr>
        <w:pStyle w:val="FirstParagraph"/>
      </w:pPr>
      <w:r>
        <w:t xml:space="preserve">A critical finding of this case study is the importance of cultural competency. In</w:t>
      </w:r>
      <w:r>
        <w:t xml:space="preserve"> </w:t>
      </w:r>
      <w:r>
        <w:rPr>
          <w:bCs/>
          <w:b/>
        </w:rPr>
        <w:t xml:space="preserve">China Guangzhou Auditor to uncover risks that might have been hidden in a more adversarial approach.</w:t>
      </w:r>
    </w:p>
    <w:bookmarkEnd w:id="24"/>
    <w:bookmarkEnd w:id="25"/>
    <w:bookmarkStart w:id="26" w:name="X2819aea7c704bf1e512bfc8b7f089f9b044cee9"/>
    <w:p>
      <w:pPr>
        <w:pStyle w:val="Heading2"/>
      </w:pPr>
      <w:r>
        <w:t xml:space="preserve">4Strategic Recommendations for Effective Auditing in China Guangzhou</w:t>
      </w:r>
    </w:p>
    <w:p>
      <w:pPr>
        <w:pStyle w:val="FirstParagraph"/>
      </w:pPr>
      <w:r>
        <w:t xml:space="preserve">Based on the case analysis, several strategic recommendations are proposed for organizations establishing auditing functions in</w:t>
      </w:r>
      <w:r>
        <w:t xml:space="preserve"> </w:t>
      </w:r>
      <w:r>
        <w:rPr>
          <w:bCs/>
          <w:b/>
        </w:rPr>
        <w:t xml:space="preserve">China Guangzhou</w:t>
      </w:r>
      <w:r>
        <w:t xml:space="preserve"> </w:t>
      </w:r>
      <w:r>
        <w:t xml:space="preserve">:</w:t>
      </w:r>
    </w:p>
    <w:p>
      <w:pPr>
        <w:numPr>
          <w:ilvl w:val="0"/>
          <w:numId w:val="1001"/>
        </w:numPr>
        <w:pStyle w:val="Compact"/>
      </w:pPr>
      <w:r>
        <w:rPr>
          <w:bCs/>
          <w:b/>
        </w:rPr>
        <w:t xml:space="preserve">Hire Local Expertise:</w:t>
      </w:r>
      <w:r>
        <w:t xml:space="preserve"> </w:t>
      </w:r>
      <w:r>
        <w:t xml:space="preserve">Organizations should prioritize hiring auditors who have experience working within</w:t>
      </w:r>
    </w:p>
    <w:p>
      <w:pPr>
        <w:numPr>
          <w:ilvl w:val="0"/>
          <w:numId w:val="1000"/>
        </w:numPr>
        <w:pStyle w:val="Compact"/>
      </w:pPr>
      <w:r>
        <w:t xml:space="preserve">China Guangzhou. These professionals possess an innate understanding of local regulatory nuances and cultural dynamics that external consultants may lack.</w:t>
      </w:r>
    </w:p>
    <w:p>
      <w:pPr>
        <w:numPr>
          <w:ilvl w:val="0"/>
          <w:numId w:val="1001"/>
        </w:numPr>
        <w:pStyle w:val="Compact"/>
      </w:pPr>
      <w:r>
        <w:t xml:space="preserve">Leverage Technology: Implementing AI-driven audit tools can help manage the volume of transactions typical in a hub like Guangzhou. Automation reduces human error and provides real-time insights, which is essential for maintaining compliance with the fast-paced regulatory environment.</w:t>
      </w:r>
    </w:p>
    <w:p>
      <w:pPr>
        <w:numPr>
          <w:ilvl w:val="0"/>
          <w:numId w:val="1001"/>
        </w:numPr>
        <w:pStyle w:val="Compact"/>
      </w:pPr>
      <w:r>
        <w:rPr>
          <w:bCs/>
          <w:b/>
        </w:rPr>
        <w:t xml:space="preserve">Foster Collaboration Over Policing:</w:t>
      </w:r>
      <w:r>
        <w:t xml:space="preserve"> </w:t>
      </w:r>
      <w:r>
        <w:t xml:space="preserve">The relationship between the</w:t>
      </w:r>
    </w:p>
    <w:p>
      <w:pPr>
        <w:numPr>
          <w:ilvl w:val="0"/>
          <w:numId w:val="1000"/>
        </w:numPr>
        <w:pStyle w:val="Compact"/>
      </w:pPr>
      <w:r>
        <w:t xml:space="preserve">Auditor and local management should be collaborative. By framing audit findings as opportunities for improvement rather than punitive measures, companies can foster a culture of compliance in</w:t>
      </w:r>
      <w:r>
        <w:t xml:space="preserve"> </w:t>
      </w:r>
      <w:r>
        <w:rPr>
          <w:bCs/>
          <w:b/>
        </w:rPr>
        <w:t xml:space="preserve">China Guangzhou</w:t>
      </w:r>
      <w:r>
        <w:t xml:space="preserve"> </w:t>
      </w:r>
      <w:r>
        <w:t xml:space="preserve">. This approach aligns with the local value of harmony and long-term partnership.</w:t>
      </w:r>
    </w:p>
    <w:p>
      <w:pPr>
        <w:numPr>
          <w:ilvl w:val="0"/>
          <w:numId w:val="1001"/>
        </w:numPr>
        <w:pStyle w:val="Compact"/>
      </w:pPr>
      <w:r>
        <w:rPr>
          <w:bCs/>
          <w:b/>
        </w:rPr>
        <w:t xml:space="preserve">Regular Training on Local Laws:</w:t>
      </w:r>
      <w:r>
        <w:t xml:space="preserve"> </w:t>
      </w:r>
      <w:r>
        <w:t xml:space="preserve">Given the frequency of regulatory updates in Guangdong Province, continuous professional development for auditors is non-negotiable. Regular training sessions focusing on changes in tax law, data privacy, and environmental regulations are essential.</w:t>
      </w:r>
    </w:p>
    <w:bookmarkEnd w:id="26"/>
    <w:bookmarkStart w:id="27" w:name="conclusion"/>
    <w:p>
      <w:pPr>
        <w:pStyle w:val="Heading2"/>
      </w:pPr>
      <w:r>
        <w:t xml:space="preserve">5Conclusion</w:t>
      </w:r>
    </w:p>
    <w:p>
      <w:pPr>
        <w:pStyle w:val="FirstParagraph"/>
      </w:pPr>
      <w:r>
        <w:t xml:space="preserve">The role of the</w:t>
      </w:r>
      <w:r>
        <w:t xml:space="preserve"> </w:t>
      </w:r>
      <w:r>
        <w:rPr>
          <w:bCs/>
          <w:b/>
        </w:rPr>
        <w:t xml:space="preserve">Auditor in</w:t>
      </w:r>
      <w:r>
        <w:rPr>
          <w:bCs/>
          <w:b/>
        </w:rPr>
        <w:t xml:space="preserve"> </w:t>
      </w:r>
      <w:r>
        <w:rPr>
          <w:bCs/>
          <w:b/>
          <w:bCs/>
          <w:b/>
        </w:rPr>
        <w:t xml:space="preserve">China Guangzhou China Guangzhou</w:t>
      </w:r>
      <w:r>
        <w:rPr>
          <w:bCs/>
          <w:b/>
        </w:rPr>
        <w:t xml:space="preserve"> </w:t>
      </w:r>
      <w:r>
        <w:rPr>
          <w:bCs/>
          <w:b/>
        </w:rPr>
        <w:t xml:space="preserve">, investing in a robust auditing framework is not optional; it is imperative. The insights gained from this case study suggest that the future of auditing lies in integration technology, and cultural empathy. By adopting these principles, companies can navigate the complexities of</w:t>
      </w:r>
      <w:r>
        <w:rPr>
          <w:bCs/>
          <w:b/>
        </w:rPr>
        <w:t xml:space="preserve"> </w:t>
      </w:r>
      <w:r>
        <w:rPr>
          <w:bCs/>
          <w:b/>
          <w:bCs/>
          <w:b/>
        </w:rPr>
        <w:t xml:space="preserve">China Guangzhou, mitigate risks effectively, and sustain long-term growth in one of the world’s most dynamic economic regions.</w:t>
      </w:r>
    </w:p>
    <w:bookmarkEnd w:id="27"/>
    <w:bookmarkStart w:id="28" w:name="references-and-further-reading"/>
    <w:p>
      <w:pPr>
        <w:pStyle w:val="Heading2"/>
      </w:pPr>
      <w:r>
        <w:t xml:space="preserve">6References and Further Reading</w:t>
      </w:r>
    </w:p>
    <w:p>
      <w:pPr>
        <w:numPr>
          <w:ilvl w:val="0"/>
          <w:numId w:val="1002"/>
        </w:numPr>
        <w:pStyle w:val="Compact"/>
      </w:pPr>
      <w:r>
        <w:t xml:space="preserve">Chinese Accounting Standards Board (CAS) Guidelines on Internal Control.</w:t>
      </w:r>
    </w:p>
    <w:p>
      <w:pPr>
        <w:numPr>
          <w:ilvl w:val="0"/>
          <w:numId w:val="1002"/>
        </w:numPr>
        <w:pStyle w:val="Compact"/>
      </w:pPr>
      <w:r>
        <w:t xml:space="preserve">Data Privacy Laws: Comparative Analysis of GDPR and China's PIPL with focus on Guangdong Province regulations.</w:t>
      </w:r>
    </w:p>
    <w:p>
      <w:pPr>
        <w:numPr>
          <w:ilvl w:val="0"/>
          <w:numId w:val="1002"/>
        </w:numPr>
        <w:pStyle w:val="Compact"/>
      </w:pPr>
      <w:r>
        <w:t xml:space="preserve">"Doing Business in China Guangzhou" – Economic Development Reports 2023-2024.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2026-07-29T12:51:46Z</dcterms:created>
  <dcterms:modified xsi:type="dcterms:W3CDTF">2026-07-29T12:51:46Z</dcterms:modified>
</cp:coreProperties>
</file>

<file path=docProps/custom.xml><?xml version="1.0" encoding="utf-8"?>
<Properties xmlns="http://schemas.openxmlformats.org/officeDocument/2006/custom-properties" xmlns:vt="http://schemas.openxmlformats.org/officeDocument/2006/docPropsVTypes"/>
</file>