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France</w:t>
      </w:r>
      <w:r>
        <w:t xml:space="preserve"> </w:t>
      </w:r>
      <w:r>
        <w:t xml:space="preserve">Paris</w:t>
      </w:r>
    </w:p>
    <w:bookmarkStart w:id="30" w:name="X8617d6e19b39f365e00036a52243fac32ce6e9d"/>
    <w:p>
      <w:pPr>
        <w:pStyle w:val="Heading1"/>
      </w:pPr>
      <w:r>
        <w:t xml:space="preserve">Auditing in the Heart of Europe: A Case Study on Regulatory Rigor and Strategic Insight</w:t>
      </w:r>
    </w:p>
    <w:p>
      <w:pPr>
        <w:pStyle w:val="FirstParagraph"/>
      </w:pPr>
      <w:r>
        <w:rPr>
          <w:bCs/>
          <w:b/>
        </w:rPr>
        <w:t xml:space="preserve">Date:</w:t>
      </w:r>
      <w:r>
        <w:t xml:space="preserve"> </w:t>
      </w:r>
      <w:r>
        <w:t xml:space="preserve">October 24, 2023</w:t>
      </w:r>
      <w:r>
        <w:br/>
      </w:r>
      <w:r>
        <w:rPr>
          <w:bCs/>
          <w:b/>
        </w:rPr>
        <w:t xml:space="preserve">Subject:</w:t>
      </w:r>
      <w:r>
        <w:t xml:space="preserve">The Complex Interplay of Statutory Auditing in France Paris</w:t>
      </w:r>
    </w:p>
    <w:bookmarkStart w:id="20" w:name="executive-summary"/>
    <w:p>
      <w:pPr>
        <w:pStyle w:val="Heading2"/>
      </w:pPr>
      <w:r>
        <w:t xml:space="preserve">1. Executive Summary</w:t>
      </w:r>
    </w:p>
    <w:p>
      <w:pPr>
        <w:pStyle w:val="FirstParagraph"/>
      </w:pPr>
      <w:r>
        <w:t xml:space="preserve">In the dynamic economic landscape of Western Europe, few cities embody the intersection of tradition and modern corporate governance quite like France Paris. As the capital city and a global financial hub, it serves as a critical testing ground for regulatory compliance, financial transparency, and ethical auditing practices. This case study explores the multifaceted role of an Auditor within this specific jurisdiction. It examines how international standards intersect with national laws in</w:t>
      </w:r>
      <w:r>
        <w:t xml:space="preserve"> </w:t>
      </w:r>
      <w:r>
        <w:rPr>
          <w:bCs/>
          <w:b/>
        </w:rPr>
        <w:t xml:space="preserve">France Paris</w:t>
      </w:r>
      <w:r>
        <w:t xml:space="preserve">, detailing the challenges faced by professionals tasked with ensuring fiscal integrity. The primary objective is to analyze how an experienced</w:t>
      </w:r>
      <w:r>
        <w:t xml:space="preserve"> </w:t>
      </w:r>
      <w:r>
        <w:rPr>
          <w:bCs/>
          <w:b/>
        </w:rPr>
        <w:t xml:space="preserve">Auditor</w:t>
      </w:r>
      <w:r>
        <w:t xml:space="preserve"> </w:t>
      </w:r>
      <w:r>
        <w:t xml:space="preserve">navigates the intricate web of French commercial law, European Union directives, and local cultural business practices to deliver reliable assurance services.</w:t>
      </w:r>
    </w:p>
    <w:bookmarkEnd w:id="20"/>
    <w:bookmarkStart w:id="21" w:name="X05acddaa3e6f202a61eecaaffb322317679421c"/>
    <w:p>
      <w:pPr>
        <w:pStyle w:val="Heading2"/>
      </w:pPr>
      <w:r>
        <w:t xml:space="preserve">2. Contextual Background: The Legal and Economic Environment of France Paris</w:t>
      </w:r>
    </w:p>
    <w:p>
      <w:pPr>
        <w:pStyle w:val="FirstParagraph"/>
      </w:pPr>
      <w:r>
        <w:t xml:space="preserve">To understand the weight of the audit function in this region, one must first appreciate the regulatory framework governing it. In</w:t>
      </w:r>
      <w:r>
        <w:t xml:space="preserve"> </w:t>
      </w:r>
      <w:r>
        <w:rPr>
          <w:bCs/>
          <w:b/>
        </w:rPr>
        <w:t xml:space="preserve">France Paris</w:t>
      </w:r>
      <w:r>
        <w:t xml:space="preserve">, the role of an auditor is not merely a financial check-up but a statutory obligation deeply embedded in the French Commercial Code (*Code de Commerce*). The city hosts numerous headquarters for multinational corporations, state-owned enterprises (such as EDF or SNCF subsidiaries), and mid-sized innovative startups. This diversity creates a complex audit environment.</w:t>
      </w:r>
    </w:p>
    <w:p>
      <w:pPr>
        <w:pStyle w:val="BodyText"/>
      </w:pPr>
      <w:r>
        <w:t xml:space="preserve">The regulatory landscape is shaped by two main forces: the European Union’s Audit Regulation and the French High Council of Statutory Auditors (*Compagnie Nationale des Commissaires aux Comptes* or CNCAC). For an</w:t>
      </w:r>
      <w:r>
        <w:t xml:space="preserve"> </w:t>
      </w:r>
      <w:r>
        <w:rPr>
          <w:bCs/>
          <w:b/>
        </w:rPr>
        <w:t xml:space="preserve">Auditor</w:t>
      </w:r>
      <w:r>
        <w:t xml:space="preserve">, operating in</w:t>
      </w:r>
      <w:r>
        <w:t xml:space="preserve"> </w:t>
      </w:r>
      <w:r>
        <w:rPr>
          <w:bCs/>
          <w:b/>
        </w:rPr>
        <w:t xml:space="preserve">France Paris</w:t>
      </w:r>
      <w:r>
        <w:t xml:space="preserve"> </w:t>
      </w:r>
      <w:r>
        <w:t xml:space="preserve">requires dual competence. They must adhere to International Standards on Auditing (ISA) while simultaneously satisfying specific national requirements regarding public interest entities, mandatory audit firm rotation, and non-audit service restrictions. The density of listed companies on the Euronext Paris exchange further elevates the stakes, requiring auditors to maintain impeccable independence and technical precision.</w:t>
      </w:r>
    </w:p>
    <w:bookmarkEnd w:id="21"/>
    <w:bookmarkStart w:id="22" w:name="X212cacb04724fa2a111bc7452e39ba3566efa1d"/>
    <w:p>
      <w:pPr>
        <w:pStyle w:val="Heading2"/>
      </w:pPr>
      <w:r>
        <w:t xml:space="preserve">3. Profile: The Modern Auditor in a High-Stakes Environment</w:t>
      </w:r>
    </w:p>
    <w:p>
      <w:pPr>
        <w:pStyle w:val="FirstParagraph"/>
      </w:pPr>
      <w:r>
        <w:t xml:space="preserve">The professional profile of an auditor in this context has evolved significantly over the last decade. Historically, the role was viewed as retrospective compliance checking. Today, an effective</w:t>
      </w:r>
      <w:r>
        <w:t xml:space="preserve"> </w:t>
      </w:r>
      <w:r>
        <w:rPr>
          <w:bCs/>
          <w:b/>
        </w:rPr>
        <w:t xml:space="preserve">Auditor</w:t>
      </w:r>
      <w:r>
        <w:t xml:space="preserve"> </w:t>
      </w:r>
      <w:r>
        <w:t xml:space="preserve">in</w:t>
      </w:r>
      <w:r>
        <w:t xml:space="preserve"> </w:t>
      </w:r>
      <w:r>
        <w:rPr>
          <w:bCs/>
          <w:b/>
        </w:rPr>
        <w:t xml:space="preserve">France Paris</w:t>
      </w:r>
      <w:r>
        <w:t xml:space="preserve"> </w:t>
      </w:r>
      <w:r>
        <w:t xml:space="preserve">is expected to be a strategic advisor who identifies risks before they materialize into crises.</w:t>
      </w:r>
    </w:p>
    <w:p>
      <w:pPr>
        <w:pStyle w:val="BodyText"/>
      </w:pPr>
      <w:r>
        <w:t xml:space="preserve">This case study focuses on a hypothetical but representative scenario involving a mid-cap manufacturing firm headquartered in the La Défense business district of</w:t>
      </w:r>
      <w:r>
        <w:t xml:space="preserve"> </w:t>
      </w:r>
      <w:r>
        <w:rPr>
          <w:bCs/>
          <w:b/>
        </w:rPr>
        <w:t xml:space="preserve">France Paris</w:t>
      </w:r>
      <w:r>
        <w:t xml:space="preserve">. The company, hereafter referred to as "TechManufacture SA," prepares its consolidated financial statements under International Financial Reporting Standards (IFRS) for its global listing, while maintaining French GAAP compliance for local tax purposes. This dual-reporting requirement places a unique burden on the</w:t>
      </w:r>
      <w:r>
        <w:t xml:space="preserve"> </w:t>
      </w:r>
      <w:r>
        <w:rPr>
          <w:bCs/>
          <w:b/>
        </w:rPr>
        <w:t xml:space="preserve">Auditor</w:t>
      </w:r>
      <w:r>
        <w:t xml:space="preserve">.</w:t>
      </w:r>
    </w:p>
    <w:bookmarkEnd w:id="22"/>
    <w:bookmarkStart w:id="25" w:name="X041f12b909d046476b6a33a205add097885a9cb"/>
    <w:p>
      <w:pPr>
        <w:pStyle w:val="Heading2"/>
      </w:pPr>
      <w:r>
        <w:t xml:space="preserve">4. Case Scenario: Navigating Complexity and Compliance</w:t>
      </w:r>
    </w:p>
    <w:p>
      <w:pPr>
        <w:pStyle w:val="FirstParagraph"/>
      </w:pPr>
      <w:r>
        <w:t xml:space="preserve">TechManufacture SA faced significant challenges during its fiscal year-end closing. The company had recently expanded its operations into Southeast Asia, introducing complex foreign currency translation risks, supply chain volatility, and new revenue recognition complexities under IFRS 15. Simultaneously, the French authorities were intensifying scrutiny on corporate tax evasion and environmental reporting (Grenelle II laws).</w:t>
      </w:r>
    </w:p>
    <w:bookmarkStart w:id="23" w:name="the-challenge-of-revenue-recognition"/>
    <w:p>
      <w:pPr>
        <w:pStyle w:val="Heading3"/>
      </w:pPr>
      <w:r>
        <w:t xml:space="preserve">4.1 The Challenge of Revenue Recognition</w:t>
      </w:r>
    </w:p>
    <w:p>
      <w:pPr>
        <w:pStyle w:val="FirstParagraph"/>
      </w:pPr>
      <w:r>
        <w:t xml:space="preserve">The core issue for the assigned</w:t>
      </w:r>
      <w:r>
        <w:t xml:space="preserve"> </w:t>
      </w:r>
      <w:r>
        <w:rPr>
          <w:bCs/>
          <w:b/>
        </w:rPr>
        <w:t xml:space="preserve">Auditor</w:t>
      </w:r>
      <w:r>
        <w:t xml:space="preserve"> </w:t>
      </w:r>
      <w:r>
        <w:t xml:space="preserve">was the timing of revenue recognition for long-term contracts with international clients. Under strict interpretation, recognizing revenue upon shipment versus completion posed material risks to the financial statements presented in</w:t>
      </w:r>
      <w:r>
        <w:t xml:space="preserve"> </w:t>
      </w:r>
      <w:r>
        <w:rPr>
          <w:bCs/>
          <w:b/>
        </w:rPr>
        <w:t xml:space="preserve">France Paris</w:t>
      </w:r>
      <w:r>
        <w:t xml:space="preserve">. The auditor had to assess whether management’s estimates regarding contract completion percentages were reasonable or potentially manipulated to meet earnings targets set by the board.</w:t>
      </w:r>
    </w:p>
    <w:bookmarkEnd w:id="23"/>
    <w:bookmarkStart w:id="24" w:name="integration-of-esg-reporting"/>
    <w:p>
      <w:pPr>
        <w:pStyle w:val="Heading3"/>
      </w:pPr>
      <w:r>
        <w:t xml:space="preserve">4.2 Integration of ESG Reporting</w:t>
      </w:r>
    </w:p>
    <w:p>
      <w:pPr>
        <w:pStyle w:val="FirstParagraph"/>
      </w:pPr>
      <w:r>
        <w:t xml:space="preserve">Beyond financial numbers, the modern auditor in</w:t>
      </w:r>
      <w:r>
        <w:t xml:space="preserve"> </w:t>
      </w:r>
      <w:r>
        <w:rPr>
          <w:bCs/>
          <w:b/>
        </w:rPr>
        <w:t xml:space="preserve">France Paris</w:t>
      </w:r>
    </w:p>
    <w:bookmarkEnd w:id="24"/>
    <w:bookmarkEnd w:id="25"/>
    <w:bookmarkStart w:id="26" w:name="methodology-the-audit-process-in-action"/>
    <w:p>
      <w:pPr>
        <w:pStyle w:val="Heading2"/>
      </w:pPr>
      <w:r>
        <w:t xml:space="preserve">5. Methodology: The Audit Process in Action</w:t>
      </w:r>
    </w:p>
    <w:p>
      <w:pPr>
        <w:pStyle w:val="FirstParagraph"/>
      </w:pPr>
      <w:r>
        <w:t xml:space="preserve">The audit engagement followed a rigorous risk-based approach tailored to the local context:</w:t>
      </w:r>
    </w:p>
    <w:p>
      <w:pPr>
        <w:numPr>
          <w:ilvl w:val="0"/>
          <w:numId w:val="1001"/>
        </w:numPr>
        <w:pStyle w:val="Compact"/>
      </w:pPr>
      <w:r>
        <w:rPr>
          <w:bCs/>
          <w:b/>
        </w:rPr>
        <w:t xml:space="preserve">Risk Assessment:</w:t>
      </w:r>
      <w:r>
        <w:t xml:space="preserve"> </w:t>
      </w:r>
      <w:r>
        <w:t xml:space="preserve">The auditor conducted interviews with senior management and operational heads across different departments. In the culture of</w:t>
      </w:r>
      <w:r>
        <w:t xml:space="preserve"> </w:t>
      </w:r>
      <w:r>
        <w:rPr>
          <w:bCs/>
          <w:b/>
        </w:rPr>
        <w:t xml:space="preserve">France Paris</w:t>
      </w:r>
      <w:r>
        <w:t xml:space="preserve">, where hierarchical structures can sometimes inhibit open communication, the auditor employed anonymous survey tools to gather unfiltered data regarding internal control weaknesses.</w:t>
      </w:r>
    </w:p>
    <w:p>
      <w:pPr>
        <w:numPr>
          <w:ilvl w:val="0"/>
          <w:numId w:val="1001"/>
        </w:numPr>
        <w:pStyle w:val="Compact"/>
      </w:pPr>
      <w:r>
        <w:t xml:space="preserve">The team performed detailed substantive testing on high-value transactions, focusing on related-party transactions which are strictly regulated in France. They verified the authenticity of invoices and contracts against customs documents for imported materials.</w:t>
      </w:r>
    </w:p>
    <w:p>
      <w:pPr>
        <w:numPr>
          <w:ilvl w:val="0"/>
          <w:numId w:val="1001"/>
        </w:numPr>
        <w:pStyle w:val="Compact"/>
      </w:pPr>
      <w:r>
        <w:rPr>
          <w:bCs/>
          <w:b/>
        </w:rPr>
        <w:t xml:space="preserve">Tax Compliance Review:</w:t>
      </w:r>
      <w:r>
        <w:t xml:space="preserve">A specialized tax auditor reviewed the company’s transfer pricing documentation to ensure it aligned with OECD guidelines and French anti-abuse legislation (*droit fiscal*). This step was crucial to prevent penalties from the Direction Générale des Finances Publiques (DGFiP).</w:t>
      </w:r>
    </w:p>
    <w:p>
      <w:pPr>
        <w:numPr>
          <w:ilvl w:val="0"/>
          <w:numId w:val="1001"/>
        </w:numPr>
        <w:pStyle w:val="Compact"/>
      </w:pPr>
      <w:r>
        <w:rPr>
          <w:bCs/>
          <w:b/>
        </w:rPr>
        <w:t xml:space="preserve">Stakeholder Engagement:</w:t>
      </w:r>
      <w:r>
        <w:t xml:space="preserve">The auditor presented preliminary findings to the Audit Committee, which must include independent members as per French corporate law. These discussions were pivotal in ensuring transparency and addressing management’s defensive postures regarding identified control gaps.</w:t>
      </w:r>
    </w:p>
    <w:bookmarkEnd w:id="26"/>
    <w:bookmarkStart w:id="27" w:name="key-findings-and-recommendations"/>
    <w:p>
      <w:pPr>
        <w:pStyle w:val="Heading2"/>
      </w:pPr>
      <w:r>
        <w:t xml:space="preserve">6. Key Findings and Recommendations</w:t>
      </w:r>
    </w:p>
    <w:p>
      <w:pPr>
        <w:pStyle w:val="FirstParagraph"/>
      </w:pPr>
      <w:r>
        <w:t xml:space="preserve">The audit revealed three critical areas requiring immediate attention:</w:t>
      </w:r>
    </w:p>
    <w:p>
      <w:pPr>
        <w:pStyle w:val="BodyText"/>
      </w:pPr>
      <w:r>
        <w:rPr>
          <w:bCs/>
          <w:b/>
        </w:rPr>
        <w:t xml:space="preserve">Finding 1: Weakness in IT General Controls.</w:t>
      </w:r>
      <w:r>
        <w:br/>
      </w:r>
      <w:r>
        <w:t xml:space="preserve">The systems used for revenue calculation lacked adequate change management controls. Recommendation: Implement strict segregation of duties and automated logging for any changes to billing algorithms.</w:t>
      </w:r>
    </w:p>
    <w:p>
      <w:pPr>
        <w:pStyle w:val="BodyText"/>
      </w:pPr>
      <w:r>
        <w:rPr>
          <w:bCs/>
          <w:b/>
        </w:rPr>
        <w:t xml:space="preserve">Finding 2: Inconsistency in ESG Data Collection.</w:t>
      </w:r>
      <w:r>
        <w:br/>
      </w:r>
      <w:r>
        <w:t xml:space="preserve">The carbon footprint calculations relied on estimated emission factors rather than actual fuel consumption data from suppliers. Recommendation: Establish direct data-sharing agreements with key logistics partners to improve accuracy and credibility of the non-financial report.</w:t>
      </w:r>
    </w:p>
    <w:p>
      <w:pPr>
        <w:pStyle w:val="BodyText"/>
      </w:pPr>
      <w:r>
        <w:rPr>
          <w:bCs/>
          <w:b/>
        </w:rPr>
        <w:t xml:space="preserve">Finding 3: Transfer Pricing Documentation Gaps.</w:t>
      </w:r>
      <w:r>
        <w:br/>
      </w:r>
      <w:r>
        <w:t xml:space="preserve">While intercompany transactions were recorded, the benchmarking studies supporting the pricing policies were outdated by two years. Recommendation: Update transfer pricing documentation immediately to align with current market rates and defend against potential tax adjustments.</w:t>
      </w:r>
    </w:p>
    <w:bookmarkEnd w:id="27"/>
    <w:bookmarkStart w:id="28" w:name="impact-and-outcome"/>
    <w:p>
      <w:pPr>
        <w:pStyle w:val="Heading2"/>
      </w:pPr>
      <w:r>
        <w:t xml:space="preserve">7. Impact and Outcome</w:t>
      </w:r>
    </w:p>
    <w:p>
      <w:pPr>
        <w:pStyle w:val="FirstParagraph"/>
      </w:pPr>
      <w:r>
        <w:t xml:space="preserve">The issuance of a clean audit opinion by the</w:t>
      </w:r>
      <w:r>
        <w:t xml:space="preserve"> </w:t>
      </w:r>
      <w:r>
        <w:rPr>
          <w:bCs/>
          <w:b/>
        </w:rPr>
        <w:t xml:space="preserve">Auditor</w:t>
      </w:r>
      <w:r>
        <w:t xml:space="preserve">, coupled with actionable recommendations, allowed TechManufacture SA to maintain its investment-grade credit rating in</w:t>
      </w:r>
      <w:r>
        <w:t xml:space="preserve"> </w:t>
      </w:r>
      <w:r>
        <w:rPr>
          <w:bCs/>
          <w:b/>
        </w:rPr>
        <w:t xml:space="preserve">France Paris</w:t>
      </w:r>
      <w:r>
        <w:t xml:space="preserve">. The improvements suggested by the auditor were integrated into the company’s internal control framework, leading to a 15% reduction in compliance-related operational risks over the following year. Furthermore, the enhanced ESG reporting boosted investor confidence among European institutional investors who prioritize sustainability.</w:t>
      </w:r>
    </w:p>
    <w:bookmarkEnd w:id="28"/>
    <w:bookmarkStart w:id="29" w:name="conclusion"/>
    <w:p>
      <w:pPr>
        <w:pStyle w:val="Heading2"/>
      </w:pPr>
      <w:r>
        <w:t xml:space="preserve">8. Conclusion</w:t>
      </w:r>
    </w:p>
    <w:p>
      <w:pPr>
        <w:pStyle w:val="FirstParagraph"/>
      </w:pPr>
      <w:r>
        <w:t xml:space="preserve">This case study underscores that the role of an Auditor in</w:t>
      </w:r>
      <w:r>
        <w:t xml:space="preserve"> </w:t>
      </w:r>
      <w:r>
        <w:rPr>
          <w:bCs/>
          <w:b/>
        </w:rPr>
        <w:t xml:space="preserve">France Paris</w:t>
      </w:r>
    </w:p>
    <w:p>
      <w:pPr>
        <w:pStyle w:val="BodyText"/>
      </w:pPr>
      <w:r>
        <w:t xml:space="preserve">For firms operating in</w:t>
      </w:r>
      <w:r>
        <w:t xml:space="preserve"> </w:t>
      </w:r>
      <w:r>
        <w:rPr>
          <w:bCs/>
          <w:b/>
        </w:rPr>
        <w:t xml:space="preserve">France Paris</w:t>
      </w:r>
      <w:r>
        <w:t xml:space="preserve">, selecting an auditor who understands both the local legal nuances (such as the *Code de Commerce*) and international best practices is paramount. The auditor acts as a guardian of public trust, ensuring that financial narratives presented to shareholders, regulators, and the market are truthful, transparent, and robust. In conclusion, effective auditing in this region requires a blend of technical expertise, cultural intelligence,\] and unwavering ethical standards.</w:t>
      </w:r>
    </w:p>
    <w:p>
      <w:r>
        <w:pict>
          <v:rect style="width:0;height:1.5pt" o:hralign="center" o:hrstd="t" o:hr="t"/>
        </w:pict>
      </w:r>
    </w:p>
    <w:p>
      <w:pPr>
        <w:pStyle w:val="FirstParagraph"/>
      </w:pPr>
      <w:r>
        <w:rPr>
          <w:iCs/>
          <w:i/>
        </w:rPr>
        <w:t xml:space="preserve">Note: This document is for educational purposes only. The case study scenario is fictionalized to illustrate general principles of auditing within the specified jurisdiction.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Auditor in France Paris</dc:title>
  <dc:creator/>
  <dc:language>en</dc:language>
  <cp:keywords/>
  <dcterms:created xsi:type="dcterms:W3CDTF">2026-07-29T05:00:39Z</dcterms:created>
  <dcterms:modified xsi:type="dcterms:W3CDTF">2026-07-29T05:00:39Z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