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Auditor</w:t>
      </w:r>
      <w:r>
        <w:t xml:space="preserve"> </w:t>
      </w:r>
      <w:r>
        <w:t xml:space="preserve">Role</w:t>
      </w:r>
      <w:r>
        <w:t xml:space="preserve"> </w:t>
      </w:r>
      <w:r>
        <w:t xml:space="preserve">in</w:t>
      </w:r>
      <w:r>
        <w:t xml:space="preserve"> </w:t>
      </w:r>
      <w:r>
        <w:t xml:space="preserve">Germany</w:t>
      </w:r>
      <w:r>
        <w:t xml:space="preserve"> </w:t>
      </w:r>
      <w:r>
        <w:t xml:space="preserve">Frankfurt</w:t>
      </w:r>
    </w:p>
    <w:bookmarkStart w:id="29" w:name="X9799e3ced5dd83550a96023f49f4bc53f84a499"/>
    <w:p>
      <w:pPr>
        <w:pStyle w:val="Heading1"/>
      </w:pPr>
      <w:r>
        <w:t xml:space="preserve">Case Study: Strategic Implementation of the Auditor Role in Germany Frankfurt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w:t>
      </w:r>
      <w:r>
        <w:t xml:space="preserve"> </w:t>
      </w:r>
      <w:r>
        <w:t xml:space="preserve">Germany, specifically the Federal State of Hesse and the City of Frankfurt am Main</w:t>
      </w:r>
    </w:p>
    <w:bookmarkStart w:id="20" w:name="executive-summary"/>
    <w:p>
      <w:pPr>
        <w:pStyle w:val="Heading2"/>
      </w:pPr>
      <w:r>
        <w:t xml:space="preserve">Executive Summary</w:t>
      </w:r>
    </w:p>
    <w:p>
      <w:pPr>
        <w:pStyle w:val="FirstParagraph"/>
      </w:pPr>
      <w:r>
        <w:t xml:space="preserve">This case study examines the critical evolution and operational requirements of the</w:t>
      </w:r>
      <w:r>
        <w:t xml:space="preserve"> </w:t>
      </w:r>
      <w:r>
        <w:rPr>
          <w:bCs/>
          <w:b/>
        </w:rPr>
        <w:t xml:space="preserve">Auditor</w:t>
      </w:r>
      <w:r>
        <w:rPr>
          <w:iCs/>
          <w:i/>
        </w:rPr>
        <w:t xml:space="preserve">(Wirtschaftsprüfer)</w:t>
      </w:r>
      <w:r>
        <w:t xml:space="preserve"> role within one of Europe’s most dynamic financial hubs,</w:t>
      </w:r>
      <w:r>
        <w:t xml:space="preserve"> </w:t>
      </w:r>
      <w:r>
        <w:rPr>
          <w:bCs/>
          <w:b/>
        </w:rPr>
        <w:t xml:space="preserve">Germany Frankfurt</w:t>
      </w:r>
      <w:r>
        <w:t xml:space="preserve">. As a global center for banking, finance, and international trade, Frankfurt presents a unique landscape where regulatory compliance is not merely a legal obligation but a cornerstone of market integrity. The document explores how the specific responsibilities of an</w:t>
      </w:r>
      <w:r>
        <w:t xml:space="preserve"> </w:t>
      </w:r>
      <w:r>
        <w:rPr>
          <w:bCs/>
          <w:b/>
        </w:rPr>
        <w:t xml:space="preserve">Auditor</w:t>
      </w:r>
      <w:r>
        <w:t xml:space="preserve"> must be adapted to meet the stringent standards set by German law (Handelsgesetzbuch) and international reporting frameworks, while addressing the high-volume, high-stakes environment characteristic of</w:t>
      </w:r>
      <w:r>
        <w:t xml:space="preserve"> </w:t>
      </w:r>
      <w:r>
        <w:rPr>
          <w:bCs/>
          <w:b/>
        </w:rPr>
        <w:t xml:space="preserve">Germany Frankfurt</w:t>
      </w:r>
      <w:r>
        <w:t xml:space="preserve">.</w:t>
      </w:r>
    </w:p>
    <w:bookmarkEnd w:id="20"/>
    <w:bookmarkStart w:id="21" w:name="X7a7d953d885d64df6af1c701a83ce20276ebdc8"/>
    <w:p>
      <w:pPr>
        <w:pStyle w:val="Heading2"/>
      </w:pPr>
      <w:r>
        <w:t xml:space="preserve">1. Contextual Background: The Financial Heart of Europe</w:t>
      </w:r>
    </w:p>
    <w:p>
      <w:pPr>
        <w:pStyle w:val="FirstParagraph"/>
      </w:pPr>
      <w:r>
        <w:rPr>
          <w:bCs/>
          <w:b/>
        </w:rPr>
        <w:t xml:space="preserve">Germany Frankfurt</w:t>
      </w:r>
      <w:r>
        <w:t xml:space="preserve"> serves as the primary economic engine for Germany and a pivotal node in the European financial network. Home to the European Central Bank (ECB), the Deutsche Bundesbank, and numerous global banking institutions, the city attracts multinational corporations that require rigorous financial oversight. In this environment, traditional auditing practices are insufficient. The modern</w:t>
      </w:r>
      <w:r>
        <w:t xml:space="preserve"> </w:t>
      </w:r>
      <w:r>
        <w:rPr>
          <w:bCs/>
          <w:b/>
        </w:rPr>
        <w:t xml:space="preserve">Auditor</w:t>
      </w:r>
      <w:r>
        <w:t xml:space="preserve"> in this region must possess a sophisticated understanding of complex financial instruments, cross-border tax implications, and the specific regulatory expectations imposed by local authorities such as the BaFin (Federal Financial Supervisory Authority).</w:t>
      </w:r>
    </w:p>
    <w:p>
      <w:pPr>
        <w:pStyle w:val="BodyText"/>
      </w:pPr>
      <w:r>
        <w:t xml:space="preserve">The density of financial institutions in</w:t>
      </w:r>
      <w:r>
        <w:t xml:space="preserve"> </w:t>
      </w:r>
      <w:r>
        <w:rPr>
          <w:bCs/>
          <w:b/>
        </w:rPr>
        <w:t xml:space="preserve">Germany Frankfurt</w:t>
      </w:r>
      <w:r>
        <w:t xml:space="preserve"> creates a competitive yet highly regulated atmosphere. For an</w:t>
      </w:r>
      <w:r>
        <w:t xml:space="preserve"> </w:t>
      </w:r>
      <w:r>
        <w:rPr>
          <w:bCs/>
          <w:b/>
        </w:rPr>
        <w:t xml:space="preserve">Auditor</w:t>
      </w:r>
      <w:r>
        <w:t xml:space="preserve">, this means that client portfolios often involve intricate structures involving subsidiaries across multiple jurisdictions. Consequently, the role extends beyond simple verification of accounts to encompass strategic risk advisory and governance assurance.</w:t>
      </w:r>
    </w:p>
    <w:bookmarkEnd w:id="21"/>
    <w:bookmarkStart w:id="22" w:name="Xc40d039cc1ec7e553365f9c7425a5582dbb24e2"/>
    <w:p>
      <w:pPr>
        <w:pStyle w:val="Heading2"/>
      </w:pPr>
      <w:r>
        <w:t xml:space="preserve">2. Regulatory Framework and Legal Obligations</w:t>
      </w:r>
    </w:p>
    <w:p>
      <w:pPr>
        <w:pStyle w:val="FirstParagraph"/>
      </w:pPr>
      <w:r>
        <w:t xml:space="preserve">The practice of auditing in</w:t>
      </w:r>
      <w:r>
        <w:t xml:space="preserve"> </w:t>
      </w:r>
      <w:r>
        <w:rPr>
          <w:bCs/>
          <w:b/>
        </w:rPr>
        <w:t xml:space="preserve">Germany Frankfurt</w:t>
      </w:r>
      <w:r>
        <w:t xml:space="preserve"> is governed by a robust legal framework, primarily the German Commercial Code (</w:t>
      </w:r>
      <w:r>
        <w:rPr>
          <w:iCs/>
          <w:i/>
        </w:rPr>
        <w:t xml:space="preserve">HGB</w:t>
      </w:r>
      <w:r>
        <w:t xml:space="preserve">) and the Audit Profession Act (</w:t>
      </w:r>
      <w:r>
        <w:rPr>
          <w:iCs/>
          <w:i/>
        </w:rPr>
        <w:t xml:space="preserve">AuditProV</w:t>
      </w:r>
      <w:r>
        <w:t xml:space="preserve">). An</w:t>
      </w:r>
      <w:r>
        <w:t xml:space="preserve"> </w:t>
      </w:r>
      <w:r>
        <w:rPr>
          <w:bCs/>
          <w:b/>
        </w:rPr>
        <w:t xml:space="preserve">Auditor</w:t>
      </w:r>
      <w:r>
        <w:t xml:space="preserve"> operating in this region must ensure strict adherence to these national standards while simultaneously aligning with International Standards on Auditing (ISA) for listed companies. This dual compliance requirement adds a layer of complexity to the</w:t>
      </w:r>
      <w:r>
        <w:t xml:space="preserve"> </w:t>
      </w:r>
      <w:r>
        <w:rPr>
          <w:bCs/>
          <w:b/>
        </w:rPr>
        <w:t xml:space="preserve">Auditor</w:t>
      </w:r>
      <w:r>
        <w:t xml:space="preserve">'s workflow.</w:t>
      </w:r>
    </w:p>
    <w:p>
      <w:pPr>
        <w:pStyle w:val="BodyText"/>
      </w:pPr>
      <w:r>
        <w:t xml:space="preserve">Furthermore, recent amendments to German corporate governance laws have increased the liability and accountability of auditors. In</w:t>
      </w:r>
      <w:r>
        <w:t xml:space="preserve"> </w:t>
      </w:r>
      <w:r>
        <w:rPr>
          <w:bCs/>
          <w:b/>
        </w:rPr>
        <w:t xml:space="preserve">Germany Frankfurt</w:t>
      </w:r>
      <w:r>
        <w:t xml:space="preserve">, where public trust in financial markets is paramount, any lapse in an</w:t>
      </w:r>
      <w:r>
        <w:t xml:space="preserve"> </w:t>
      </w:r>
      <w:r>
        <w:rPr>
          <w:bCs/>
          <w:b/>
        </w:rPr>
        <w:t xml:space="preserve">Auditor</w:t>
      </w:r>
      <w:r>
        <w:t xml:space="preserve">'s duty can result in severe reputational damage and legal consequences. Therefore, the case study highlights the necessity for continuous professional education (CPE) specific to German regulatory updates.</w:t>
      </w:r>
    </w:p>
    <w:bookmarkEnd w:id="22"/>
    <w:bookmarkStart w:id="25" w:name="the-evolving-role-of-the-auditor"/>
    <w:p>
      <w:pPr>
        <w:pStyle w:val="Heading2"/>
      </w:pPr>
      <w:r>
        <w:t xml:space="preserve">3. The Evolving Role of the Auditor</w:t>
      </w:r>
    </w:p>
    <w:bookmarkStart w:id="23" w:name="from-compliance-to-strategic-advisory"/>
    <w:p>
      <w:pPr>
        <w:pStyle w:val="Heading3"/>
      </w:pPr>
      <w:r>
        <w:t xml:space="preserve">3.1 From Compliance to Strategic Advisory</w:t>
      </w:r>
    </w:p>
    <w:p>
      <w:pPr>
        <w:pStyle w:val="FirstParagraph"/>
      </w:pPr>
      <w:r>
        <w:t xml:space="preserve">In</w:t>
      </w:r>
      <w:r>
        <w:t xml:space="preserve"> </w:t>
      </w:r>
      <w:r>
        <w:rPr>
          <w:bCs/>
          <w:b/>
        </w:rPr>
        <w:t xml:space="preserve">Germany Frankfurt</w:t>
      </w:r>
      <w:r>
        <w:t xml:space="preserve">, stakeholders no longer view the</w:t>
      </w:r>
      <w:r>
        <w:t xml:space="preserve"> </w:t>
      </w:r>
      <w:r>
        <w:rPr>
          <w:bCs/>
          <w:b/>
        </w:rPr>
        <w:t xml:space="preserve">Auditor</w:t>
      </w:r>
      <w:r>
        <w:t xml:space="preserve"> solely as a compliance officer checking boxes for annual reports. Instead, there is a growing demand for the</w:t>
      </w:r>
      <w:r>
        <w:t xml:space="preserve"> </w:t>
      </w:r>
      <w:r>
        <w:rPr>
          <w:bCs/>
          <w:b/>
        </w:rPr>
        <w:t xml:space="preserve">Auditor</w:t>
      </w:r>
      <w:r>
        <w:t xml:space="preserve"> to act as a strategic partner. This involves providing insights into operational inefficiencies, cybersecurity risks, and sustainability reporting (ESG). Given Frankfurt’s push to become a green finance hub, auditors must now assess non-financial data with the same rigor as financial statements.</w:t>
      </w:r>
    </w:p>
    <w:bookmarkEnd w:id="23"/>
    <w:bookmarkStart w:id="24" w:name="X41433494406ba129402ecf86a79d93eec90b736"/>
    <w:p>
      <w:pPr>
        <w:pStyle w:val="Heading3"/>
      </w:pPr>
      <w:r>
        <w:t xml:space="preserve">3.2 Digital Transformation and Data Analytics</w:t>
      </w:r>
    </w:p>
    <w:p>
      <w:pPr>
        <w:pStyle w:val="FirstParagraph"/>
      </w:pPr>
      <w:r>
        <w:t xml:space="preserve">The volume of transactions in</w:t>
      </w:r>
      <w:r>
        <w:t xml:space="preserve"> </w:t>
      </w:r>
      <w:r>
        <w:rPr>
          <w:bCs/>
          <w:b/>
        </w:rPr>
        <w:t xml:space="preserve">Germany Frankfurt</w:t>
      </w:r>
      <w:r>
        <w:t xml:space="preserve">'s banking sector necessitates the use of advanced data analytics tools. Traditional sampling methods are increasingly being supplemented or replaced by continuous auditing techniques. An effective</w:t>
      </w:r>
      <w:r>
        <w:t xml:space="preserve"> </w:t>
      </w:r>
      <w:r>
        <w:rPr>
          <w:bCs/>
          <w:b/>
        </w:rPr>
        <w:t xml:space="preserve">Auditor</w:t>
      </w:r>
      <w:r>
        <w:t xml:space="preserve"> in this region must be proficient in utilizing AI-driven audit software to detect anomalies across millions of transactions in real-time. This technological integration allows for a more comprehensive risk assessment and enhances the reliability of the audit opinion.</w:t>
      </w:r>
    </w:p>
    <w:bookmarkEnd w:id="24"/>
    <w:bookmarkEnd w:id="25"/>
    <w:bookmarkStart w:id="26" w:name="challenges-specific-to-germany-frankfurt"/>
    <w:p>
      <w:pPr>
        <w:pStyle w:val="Heading2"/>
      </w:pPr>
      <w:r>
        <w:t xml:space="preserve">4. Challenges Specific to Germany Frankfurt</w:t>
      </w:r>
    </w:p>
    <w:p>
      <w:pPr>
        <w:pStyle w:val="FirstParagraph"/>
      </w:pPr>
      <w:r>
        <w:rPr>
          <w:bCs/>
          <w:b/>
        </w:rPr>
        <w:t xml:space="preserve">Cultural and Linguistic Nuances:</w:t>
      </w:r>
      <w:r>
        <w:t xml:space="preserve"> While English is widely used in international business, legal documents and tax records in</w:t>
      </w:r>
      <w:r>
        <w:t xml:space="preserve"> </w:t>
      </w:r>
      <w:r>
        <w:rPr>
          <w:bCs/>
          <w:b/>
        </w:rPr>
        <w:t xml:space="preserve">Germany Frankfurt</w:t>
      </w:r>
      <w:r>
        <w:t xml:space="preserve"> are primarily in German. An</w:t>
      </w:r>
      <w:r>
        <w:t xml:space="preserve"> </w:t>
      </w:r>
      <w:r>
        <w:rPr>
          <w:bCs/>
          <w:b/>
        </w:rPr>
        <w:t xml:space="preserve">Auditor</w:t>
      </w:r>
      <w:r>
        <w:t xml:space="preserve"> must possess native or near-native proficiency in German to interpret nuanced legal texts accurately. Misinterpretation due to language barriers can lead to significant compliance errors.</w:t>
      </w:r>
    </w:p>
    <w:p>
      <w:pPr>
        <w:pStyle w:val="BodyText"/>
      </w:pPr>
      <w:r>
        <w:rPr>
          <w:bCs/>
          <w:b/>
        </w:rPr>
        <w:t xml:space="preserve">High Expectations and Workload:</w:t>
      </w:r>
      <w:r>
        <w:t xml:space="preserve"> The fast-paced nature of the financial district in</w:t>
      </w:r>
      <w:r>
        <w:t xml:space="preserve"> </w:t>
      </w:r>
      <w:r>
        <w:rPr>
          <w:bCs/>
          <w:b/>
        </w:rPr>
        <w:t xml:space="preserve">Germany Frankfurt</w:t>
      </w:r>
      <w:r>
        <w:t xml:space="preserve"> means that audit cycles are often compressed. Auditors face intense pressure to deliver high-quality work within tight deadlines. This requires efficient project management skills and robust team structures within auditing firms.</w:t>
      </w:r>
    </w:p>
    <w:p>
      <w:pPr>
        <w:pStyle w:val="BodyText"/>
      </w:pPr>
      <w:r>
        <w:rPr>
          <w:bCs/>
          <w:b/>
        </w:rPr>
        <w:t xml:space="preserve">Bribery and Corruption Risks:</w:t>
      </w:r>
      <w:r>
        <w:t xml:space="preserve"> As a global hub, Frankfurt is susceptible to international corruption risks. Auditors must perform enhanced due diligence on clients' anti-bribery controls, particularly those dealing with emerging markets. The role of the</w:t>
      </w:r>
      <w:r>
        <w:t xml:space="preserve"> </w:t>
      </w:r>
      <w:r>
        <w:rPr>
          <w:bCs/>
          <w:b/>
        </w:rPr>
        <w:t xml:space="preserve">Auditor</w:t>
      </w:r>
      <w:r>
        <w:t xml:space="preserve"> here includes scrutinizing third-party relationships and payment flows to ensure integrity.</w:t>
      </w:r>
    </w:p>
    <w:bookmarkEnd w:id="26"/>
    <w:bookmarkStart w:id="27" w:name="recommendations-for-best-practices"/>
    <w:p>
      <w:pPr>
        <w:pStyle w:val="Heading2"/>
      </w:pPr>
      <w:r>
        <w:t xml:space="preserve">5. Recommendations for Best Practices</w:t>
      </w:r>
    </w:p>
    <w:p>
      <w:pPr>
        <w:pStyle w:val="FirstParagraph"/>
      </w:pPr>
      <w:r>
        <w:t xml:space="preserve">To excel in this competitive landscape, auditing firms operating in</w:t>
      </w:r>
      <w:r>
        <w:t xml:space="preserve"> </w:t>
      </w:r>
      <w:r>
        <w:rPr>
          <w:bCs/>
          <w:b/>
        </w:rPr>
        <w:t xml:space="preserve">Germany Frankfurt</w:t>
      </w:r>
      <w:r>
        <w:t xml:space="preserve"> should adopt the following strategies:</w:t>
      </w:r>
    </w:p>
    <w:p>
      <w:pPr>
        <w:numPr>
          <w:ilvl w:val="0"/>
          <w:numId w:val="1001"/>
        </w:numPr>
        <w:pStyle w:val="Compact"/>
      </w:pPr>
      <w:r>
        <w:rPr>
          <w:bCs/>
          <w:b/>
        </w:rPr>
        <w:t xml:space="preserve">Specialized Training:</w:t>
      </w:r>
      <w:r>
        <w:t xml:space="preserve"> Invest in specialized training programs that combine German legal knowledge with international accounting standards for all junior and senior</w:t>
      </w:r>
      <w:r>
        <w:t xml:space="preserve"> </w:t>
      </w:r>
      <w:r>
        <w:rPr>
          <w:bCs/>
          <w:b/>
        </w:rPr>
        <w:t xml:space="preserve">Auditor</w:t>
      </w:r>
      <w:r>
        <w:t xml:space="preserve"> staff.</w:t>
      </w:r>
    </w:p>
    <w:p>
      <w:pPr>
        <w:numPr>
          <w:ilvl w:val="0"/>
          <w:numId w:val="1001"/>
        </w:numPr>
        <w:pStyle w:val="Compact"/>
      </w:pPr>
      <w:r>
        <w:rPr>
          <w:bCs/>
          <w:b/>
        </w:rPr>
        <w:t xml:space="preserve">Tech Integration:</w:t>
      </w:r>
      <w:r>
        <w:t xml:space="preserve"> Implement robust data analytics platforms to handle the high volume of transactional data typical of Frankfurt-based clients.</w:t>
      </w:r>
    </w:p>
    <w:p>
      <w:pPr>
        <w:numPr>
          <w:ilvl w:val="0"/>
          <w:numId w:val="1001"/>
        </w:numPr>
        <w:pStyle w:val="Compact"/>
      </w:pPr>
      <w:r>
        <w:rPr>
          <w:bCs/>
          <w:b/>
        </w:rPr>
        <w:t xml:space="preserve">Sustainability Focus:</w:t>
      </w:r>
      <w:r>
        <w:t xml:space="preserve"> Develop specific audit methodologies for ESG reporting, aligning with both EU regulations and local expectations in</w:t>
      </w:r>
      <w:r>
        <w:t xml:space="preserve"> </w:t>
      </w:r>
      <w:r>
        <w:rPr>
          <w:bCs/>
          <w:b/>
        </w:rPr>
        <w:t xml:space="preserve">Germany Frankfurt</w:t>
      </w:r>
      <w:r>
        <w:t xml:space="preserve">.</w:t>
      </w:r>
    </w:p>
    <w:p>
      <w:pPr>
        <w:numPr>
          <w:ilvl w:val="0"/>
          <w:numId w:val="1001"/>
        </w:numPr>
        <w:pStyle w:val="Compact"/>
      </w:pPr>
      <w:r>
        <w:rPr>
          <w:bCs/>
          <w:b/>
        </w:rPr>
        <w:t xml:space="preserve">Risk-Based Approach:</w:t>
      </w:r>
      <w:r>
        <w:t xml:space="preserve"> Adopt a dynamic risk assessment model that adjusts to the volatile nature of global financial markets.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Auditor</w:t>
      </w:r>
      <w:r>
        <w:t xml:space="preserve"> in</w:t>
      </w:r>
      <w:r>
        <w:t xml:space="preserve"> </w:t>
      </w:r>
      <w:r>
        <w:rPr>
          <w:bCs/>
          <w:b/>
        </w:rPr>
        <w:t xml:space="preserve">Germany Frankfurt</w:t>
      </w:r>
      <w:r>
        <w:t xml:space="preserve"> is undergoing a profound transformation. It is no longer sufficient to rely on traditional auditing techniques alone. The unique characteristics of</w:t>
      </w:r>
      <w:r>
        <w:t xml:space="preserve"> </w:t>
      </w:r>
      <w:r>
        <w:rPr>
          <w:bCs/>
          <w:b/>
        </w:rPr>
        <w:t xml:space="preserve">Germany Frankfurt</w:t>
      </w:r>
      <w:r>
        <w:t xml:space="preserve"> as a global financial center demand an</w:t>
      </w:r>
      <w:r>
        <w:t xml:space="preserve"> </w:t>
      </w:r>
      <w:r>
        <w:rPr>
          <w:bCs/>
          <w:b/>
        </w:rPr>
        <w:t xml:space="preserve">Auditor</w:t>
      </w:r>
      <w:r>
        <w:t xml:space="preserve"> who is not only technically proficient in German and International standards but also adept at leveraging technology and understanding broader strategic risks. By embracing digital tools, adhering strictly to regulatory frameworks, and focusing on value-added advisory services, the</w:t>
      </w:r>
      <w:r>
        <w:t xml:space="preserve"> </w:t>
      </w:r>
      <w:r>
        <w:rPr>
          <w:bCs/>
          <w:b/>
        </w:rPr>
        <w:t xml:space="preserve">Auditor</w:t>
      </w:r>
      <w:r>
        <w:t xml:space="preserve"> can ensure both compliance and trust in one of Europe’s most critical economic jurisdictions. This case study underscores that success in this market depends on a holistic approach that integrates legal precision with strategic foresight.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the Auditor Role in Germany Frankfurt</dc:title>
  <dc:creator/>
  <cp:keywords/>
  <dcterms:created xsi:type="dcterms:W3CDTF">2026-07-29T04:22:07Z</dcterms:created>
  <dcterms:modified xsi:type="dcterms:W3CDTF">2026-07-29T04:22:07Z</dcterms:modified>
</cp:coreProperties>
</file>

<file path=docProps/custom.xml><?xml version="1.0" encoding="utf-8"?>
<Properties xmlns="http://schemas.openxmlformats.org/officeDocument/2006/custom-properties" xmlns:vt="http://schemas.openxmlformats.org/officeDocument/2006/docPropsVTypes"/>
</file>