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Germany</w:t>
      </w:r>
      <w:r>
        <w:t xml:space="preserve"> </w:t>
      </w:r>
      <w:r>
        <w:t xml:space="preserve">Munich</w:t>
      </w:r>
    </w:p>
    <w:bookmarkStart w:id="31" w:name="X2e4db56707ece9fb3b37f180d77a6701b4c03bb"/>
    <w:p>
      <w:pPr>
        <w:pStyle w:val="Heading1"/>
      </w:pPr>
      <w:r>
        <w:t xml:space="preserve">Case Study: The Strategic Role of the Auditor in Germany Munich</w:t>
      </w:r>
    </w:p>
    <w:p>
      <w:pPr>
        <w:pStyle w:val="FirstParagraph"/>
      </w:pPr>
      <w:r>
        <w:rPr>
          <w:bCs/>
          <w:b/>
        </w:rPr>
        <w:t xml:space="preserve">Date:</w:t>
      </w:r>
      <w:r>
        <w:t xml:space="preserve"> </w:t>
      </w:r>
      <w:r>
        <w:t xml:space="preserve">October 2023</w:t>
      </w:r>
      <w:r>
        <w:br/>
      </w:r>
      <w:r>
        <w:rPr>
          <w:iCs/>
          <w:i/>
        </w:rPr>
        <w:t xml:space="preserve">Munich, Bavaria, Germany</w:t>
      </w:r>
      <w:r>
        <w:br/>
      </w:r>
      <w:r>
        <w:t xml:space="preserve">An Analysis of Regulatory Compliance, Financial Integrity, and Strategic Advisory in the Munich Market.</w:t>
      </w:r>
    </w:p>
    <w:bookmarkStart w:id="20" w:name="executive-summary"/>
    <w:p>
      <w:pPr>
        <w:pStyle w:val="Heading2"/>
      </w:pPr>
      <w:r>
        <w:t xml:space="preserve">1. Executive Summary</w:t>
      </w:r>
    </w:p>
    <w:p>
      <w:pPr>
        <w:pStyle w:val="FirstParagraph"/>
      </w:pPr>
      <w:r>
        <w:t xml:space="preserve">In the bustling economic hub of Germany Munich, corporate governance plays a pivotal role in maintaining investor confidence and regulatory compliance. This case study examines the critical function of an</w:t>
      </w:r>
      <w:r>
        <w:t xml:space="preserve"> </w:t>
      </w:r>
      <w:r>
        <w:rPr>
          <w:bCs/>
          <w:b/>
        </w:rPr>
        <w:t xml:space="preserve">Auditor</w:t>
      </w:r>
      <w:r>
        <w:t xml:space="preserve"> </w:t>
      </w:r>
      <w:r>
        <w:t xml:space="preserve">within a mid-sized manufacturing firm headquartered in this prestigious Bavarian city. By exploring the specific regulatory landscape of</w:t>
      </w:r>
      <w:r>
        <w:t xml:space="preserve"> </w:t>
      </w:r>
      <w:r>
        <w:rPr>
          <w:bCs/>
          <w:b/>
        </w:rPr>
        <w:t xml:space="preserve">Germany Munich</w:t>
      </w:r>
      <w:r>
        <w:t xml:space="preserve">, we aim to illustrate how modern auditing transcends traditional number-crunching to become a strategic business partner. The findings highlight the necessity of rigorous internal controls, adherence to German Commercial Code (HGB) and International Financial Reporting Standards (IFRS), and the unique challenges posed by local labor laws and tax regulations in this high-cost economic zone.</w:t>
      </w:r>
    </w:p>
    <w:bookmarkEnd w:id="20"/>
    <w:bookmarkStart w:id="21" w:name="company-background"/>
    <w:p>
      <w:pPr>
        <w:pStyle w:val="Heading2"/>
      </w:pPr>
      <w:r>
        <w:t xml:space="preserve">2. Company Background</w:t>
      </w:r>
    </w:p>
    <w:p>
      <w:pPr>
        <w:pStyle w:val="FirstParagraph"/>
      </w:pPr>
      <w:r>
        <w:rPr>
          <w:bCs/>
          <w:b/>
        </w:rPr>
        <w:t xml:space="preserve">TechBau Bavaria GmbH</w:t>
      </w:r>
      <w:r>
        <w:t xml:space="preserve">, hereinafter referred to as "the Company," is a premier manufacturer of precision automotive components located in the industrial districts surrounding Germany Munich. Established in 1985, the company has grown from a local workshop into an international supplier with exports reaching across Europe and North America. With an annual revenue exceeding €150 million and a workforce of 450 employees, TechBau operates in a highly regulated environment subject to both national German standards and international trade requirements.</w:t>
      </w:r>
    </w:p>
    <w:p>
      <w:pPr>
        <w:pStyle w:val="BodyText"/>
      </w:pPr>
      <w:r>
        <w:t xml:space="preserve">The Company’s rapid expansion over the last five years has outpaced its internal control systems. While the management team is technically proficient, they lack specialized expertise in complex financial reporting and regulatory compliance specific to the</w:t>
      </w:r>
      <w:r>
        <w:t xml:space="preserve"> </w:t>
      </w:r>
      <w:r>
        <w:rPr>
          <w:bCs/>
          <w:b/>
        </w:rPr>
        <w:t xml:space="preserve">Germany Munich</w:t>
      </w:r>
      <w:r>
        <w:t xml:space="preserve"> </w:t>
      </w:r>
      <w:r>
        <w:t xml:space="preserve">jurisdiction. Consequently, the Board of Directors decided to engage an external lead Auditor to conduct a comprehensive review and overhaul of their financial governance structures.</w:t>
      </w:r>
    </w:p>
    <w:bookmarkEnd w:id="21"/>
    <w:bookmarkStart w:id="22" w:name="Xf4ddd20748a07731b55572a9fc13577b68bfb16"/>
    <w:p>
      <w:pPr>
        <w:pStyle w:val="Heading2"/>
      </w:pPr>
      <w:r>
        <w:t xml:space="preserve">3. The Challenge: Navigating the Germany Munich Regulatory Landscape</w:t>
      </w:r>
    </w:p>
    <w:p>
      <w:pPr>
        <w:pStyle w:val="FirstParagraph"/>
      </w:pPr>
      <w:r>
        <w:t xml:space="preserve">Operating in</w:t>
      </w:r>
      <w:r>
        <w:t xml:space="preserve"> </w:t>
      </w:r>
      <w:r>
        <w:rPr>
          <w:bCs/>
          <w:b/>
        </w:rPr>
        <w:t xml:space="preserve">Germany Munich</w:t>
      </w:r>
    </w:p>
    <w:p>
      <w:pPr>
        <w:pStyle w:val="BodyText"/>
      </w:pPr>
      <w:r>
        <w:t xml:space="preserve">The primary challenges identified during the initial consultation phase included:</w:t>
      </w:r>
    </w:p>
    <w:p>
      <w:pPr>
        <w:numPr>
          <w:ilvl w:val="0"/>
          <w:numId w:val="1001"/>
        </w:numPr>
        <w:pStyle w:val="Compact"/>
      </w:pPr>
      <w:r>
        <w:rPr>
          <w:bCs/>
          <w:b/>
        </w:rPr>
        <w:t xml:space="preserve">Dual Reporting Requirements:</w:t>
      </w:r>
      <w:r>
        <w:t xml:space="preserve"> </w:t>
      </w:r>
      <w:r>
        <w:t xml:space="preserve">The Company was required to maintain accounts under German GAAP (HGB) for tax purposes while simultaneously preparing IFRS statements for potential future fundraising and international investor reporting. Reconciling these two frameworks often resulted in discrepancies that risked audit qualifications.</w:t>
      </w:r>
    </w:p>
    <w:p>
      <w:pPr>
        <w:numPr>
          <w:ilvl w:val="0"/>
          <w:numId w:val="1001"/>
        </w:numPr>
        <w:pStyle w:val="Compact"/>
      </w:pPr>
      <w:r>
        <w:rPr>
          <w:bCs/>
          <w:b/>
        </w:rPr>
        <w:t xml:space="preserve">Labor Cost Allocation:</w:t>
      </w:r>
      <w:r>
        <w:t xml:space="preserve"> </w:t>
      </w:r>
      <w:r>
        <w:t xml:space="preserve">In</w:t>
      </w:r>
      <w:r>
        <w:t xml:space="preserve"> </w:t>
      </w:r>
      <w:r>
        <w:rPr>
          <w:bCs/>
          <w:b/>
        </w:rPr>
        <w:t xml:space="preserve">Germany Munich</w:t>
      </w:r>
      <w:r>
        <w:t xml:space="preserve">, labor costs are significant, and the complexity of wage structures, including overtime premiums mandated by local agreements, required precise allocation to product lines. Inaccuracies here directly affected the cost of goods sold (COGS) and gross margins.</w:t>
      </w:r>
    </w:p>
    <w:p>
      <w:pPr>
        <w:numPr>
          <w:ilvl w:val="0"/>
          <w:numId w:val="1001"/>
        </w:numPr>
        <w:pStyle w:val="Compact"/>
      </w:pPr>
      <w:r>
        <w:rPr>
          <w:bCs/>
          <w:b/>
        </w:rPr>
        <w:t xml:space="preserve">Tax Compliance:</w:t>
      </w:r>
      <w:r>
        <w:t xml:space="preserve"> </w:t>
      </w:r>
      <w:r>
        <w:t xml:space="preserve">With corporate tax rates in Germany being comparatively high when solidified with trade tax (Gewerbesteuer) varying by municipality, ensuring accurate deferred tax asset/liability recognition was critical. The Auditor needed to verify that the Company’s transfer pricing policies complied with German Federal Tax Office standards.</w:t>
      </w:r>
    </w:p>
    <w:bookmarkEnd w:id="22"/>
    <w:bookmarkStart w:id="27" w:name="methodology-the-auditors-approach"/>
    <w:p>
      <w:pPr>
        <w:pStyle w:val="Heading2"/>
      </w:pPr>
      <w:r>
        <w:t xml:space="preserve">4. Methodology: The Auditor’s Approach</w:t>
      </w:r>
    </w:p>
    <w:p>
      <w:pPr>
        <w:pStyle w:val="FirstParagraph"/>
      </w:pPr>
      <w:r>
        <w:t xml:space="preserve">To address these multifaceted challenges, the appointed</w:t>
      </w:r>
      <w:r>
        <w:t xml:space="preserve"> </w:t>
      </w:r>
      <w:r>
        <w:rPr>
          <w:bCs/>
          <w:b/>
        </w:rPr>
        <w:t xml:space="preserve">Auditor</w:t>
      </w:r>
      <w:r>
        <w:t xml:space="preserve"> </w:t>
      </w:r>
      <w:r>
        <w:t xml:space="preserve">adopted a risk-based auditing methodology tailored to the operational realities of a manufacturing firm in Bavaria.</w:t>
      </w:r>
    </w:p>
    <w:bookmarkStart w:id="23" w:name="regulatory-mapping-and-compliance-review"/>
    <w:p>
      <w:pPr>
        <w:pStyle w:val="Heading3"/>
      </w:pPr>
      <w:r>
        <w:t xml:space="preserve">4.1 Regulatory Mapping and Compliance Review</w:t>
      </w:r>
    </w:p>
    <w:p>
      <w:pPr>
        <w:pStyle w:val="FirstParagraph"/>
      </w:pPr>
      <w:r>
        <w:t xml:space="preserve">The first phase involved mapping all applicable regulations specific to operating in</w:t>
      </w:r>
      <w:r>
        <w:t xml:space="preserve"> </w:t>
      </w:r>
      <w:r>
        <w:rPr>
          <w:bCs/>
          <w:b/>
        </w:rPr>
        <w:t xml:space="preserve">Germany Munich</w:t>
      </w:r>
      <w:r>
        <w:t xml:space="preserve">. This included reviewing compliance with the German Stock Corporation Act (AktG) where relevant for corporate governance, even though TechBau was a GmbH, and ensuring adherence to the General Data Protection Regulation (GDPR), which is strictly enforced in Germany. The Auditor verified that data privacy measures regarding employee records and customer data were robust.</w:t>
      </w:r>
    </w:p>
    <w:bookmarkEnd w:id="23"/>
    <w:bookmarkStart w:id="24" w:name="internal-control-evaluation"/>
    <w:p>
      <w:pPr>
        <w:pStyle w:val="Heading3"/>
      </w:pPr>
      <w:r>
        <w:t xml:space="preserve">4.2 Internal Control Evaluation</w:t>
      </w:r>
    </w:p>
    <w:p>
      <w:pPr>
        <w:pStyle w:val="FirstParagraph"/>
      </w:pPr>
      <w:r>
        <w:t xml:space="preserve">The Auditor conducted a thorough walkthrough of the procurement-to-pay and order-to-cash cycles. They identified weaknesses in the segregation of duties between procurement officers and accounts payable clerks, a common issue in rapidly scaling companies. The Auditor recommended implementing automated approval workflows within the Enterprise Resource Planning (ERP) system to mitigate fraud risk.</w:t>
      </w:r>
    </w:p>
    <w:bookmarkEnd w:id="24"/>
    <w:bookmarkStart w:id="25" w:name="X02c4f40a41e91cfad93bf819b766b454ab51465"/>
    <w:p>
      <w:pPr>
        <w:pStyle w:val="Heading3"/>
      </w:pPr>
      <w:r>
        <w:t xml:space="preserve">4.3 Inventory Valuation and Physical Verification</w:t>
      </w:r>
    </w:p>
    <w:p>
      <w:pPr>
        <w:pStyle w:val="FirstParagraph"/>
      </w:pPr>
      <w:r>
        <w:t xml:space="preserve">A significant portion of TechBau’s assets was tied up in work-in-progress inventory. The Auditor performed physical spot checks at the factory floor in Munich to ensure existence and condition. They also tested the valuation methodology, ensuring that obsolete inventory was appropriately written down, a crucial step for accurate financial reporting under both HGB and IFRS.</w:t>
      </w:r>
    </w:p>
    <w:bookmarkEnd w:id="25"/>
    <w:bookmarkStart w:id="26" w:name="tax-and-legal-review"/>
    <w:p>
      <w:pPr>
        <w:pStyle w:val="Heading3"/>
      </w:pPr>
      <w:r>
        <w:t xml:space="preserve">4.4 Tax and Legal Review</w:t>
      </w:r>
    </w:p>
    <w:p>
      <w:pPr>
        <w:pStyle w:val="FirstParagraph"/>
      </w:pPr>
      <w:r>
        <w:t xml:space="preserve">The Auditor collaborated with local tax specialists to review deferred tax calculations. They analyzed the impact of recent changes in municipal trade tax rates in Munich, ensuring that the Company’s provisions were accurate. This step was vital for avoiding unexpected liabilities during annual audits by the Finanzamt (Tax Office).</w:t>
      </w:r>
    </w:p>
    <w:bookmarkEnd w:id="26"/>
    <w:bookmarkEnd w:id="27"/>
    <w:bookmarkStart w:id="28" w:name="findings-and-recommendations"/>
    <w:p>
      <w:pPr>
        <w:pStyle w:val="Heading2"/>
      </w:pPr>
      <w:r>
        <w:t xml:space="preserve">5. Findings and Recommendations</w:t>
      </w:r>
    </w:p>
    <w:p>
      <w:pPr>
        <w:pStyle w:val="FirstParagraph"/>
      </w:pPr>
      <w:r>
        <w:t xml:space="preserve">The audit revealed several critical areas for improvement:</w:t>
      </w:r>
    </w:p>
    <w:p>
      <w:pPr>
        <w:numPr>
          <w:ilvl w:val="0"/>
          <w:numId w:val="1002"/>
        </w:numPr>
        <w:pStyle w:val="Compact"/>
      </w:pPr>
      <w:r>
        <w:rPr>
          <w:bCs/>
          <w:b/>
        </w:rPr>
        <w:t xml:space="preserve">Inconsistent Intercompany Transactions:</w:t>
      </w:r>
      <w:r>
        <w:t xml:space="preserve"> </w:t>
      </w:r>
      <w:r>
        <w:t xml:space="preserve">Transactions between TechBau’s Munich headquarters and its subsidiaries in Eastern Europe lacked proper documentation, posing transfer pricing risks. The Auditor recommended establishing a formal intercompany agreement policy.</w:t>
      </w:r>
    </w:p>
    <w:p>
      <w:pPr>
        <w:numPr>
          <w:ilvl w:val="0"/>
          <w:numId w:val="1002"/>
        </w:numPr>
        <w:pStyle w:val="Compact"/>
      </w:pPr>
      <w:r>
        <w:rPr>
          <w:bCs/>
          <w:b/>
        </w:rPr>
        <w:t xml:space="preserve">Weakened IT Controls:</w:t>
      </w:r>
      <w:r>
        <w:t xml:space="preserve"> </w:t>
      </w:r>
      <w:r>
        <w:t xml:space="preserve">Access logs showed unauthorized attempts to modify master data. The Auditor advised implementing multi-factor authentication and regular access reviews.</w:t>
      </w:r>
    </w:p>
    <w:p>
      <w:pPr>
        <w:numPr>
          <w:ilvl w:val="0"/>
          <w:numId w:val="1002"/>
        </w:numPr>
        <w:pStyle w:val="Compact"/>
      </w:pPr>
      <w:r>
        <w:rPr>
          <w:bCs/>
          <w:b/>
        </w:rPr>
        <w:t xml:space="preserve">Lack of Continuous Monitoring:</w:t>
      </w:r>
      <w:r>
        <w:t xml:space="preserve"> </w:t>
      </w:r>
      <w:r>
        <w:t xml:space="preserve">The Company relied solely on annual audits. The Auditor suggested adopting continuous monitoring tools to detect anomalies in real-time, a practice increasingly expected by stakeholders in the German market.</w:t>
      </w:r>
    </w:p>
    <w:bookmarkEnd w:id="28"/>
    <w:bookmarkStart w:id="29" w:name="implementation-and-outcomes"/>
    <w:p>
      <w:pPr>
        <w:pStyle w:val="Heading2"/>
      </w:pPr>
      <w:r>
        <w:t xml:space="preserve">6. Implementation and Outcomes</w:t>
      </w:r>
    </w:p>
    <w:p>
      <w:pPr>
        <w:pStyle w:val="FirstParagraph"/>
      </w:pPr>
      <w:r>
        <w:t xml:space="preserve">Over the following six months, TechBau implemented the Auditor’s recommendations. The results were substantial:</w:t>
      </w:r>
    </w:p>
    <w:p>
      <w:pPr>
        <w:numPr>
          <w:ilvl w:val="0"/>
          <w:numId w:val="1003"/>
        </w:numPr>
        <w:pStyle w:val="Compact"/>
      </w:pPr>
      <w:r>
        <w:rPr>
          <w:bCs/>
          <w:b/>
        </w:rPr>
        <w:t xml:space="preserve">Clean Audit Opinion:</w:t>
      </w:r>
      <w:r>
        <w:t xml:space="preserve">The Company received an unqualified audit opinion for the first time in three years, significantly boosting its credibility with banks and investors.</w:t>
      </w:r>
    </w:p>
    <w:p>
      <w:pPr>
        <w:numPr>
          <w:ilvl w:val="0"/>
          <w:numId w:val="1003"/>
        </w:numPr>
        <w:pStyle w:val="Compact"/>
      </w:pPr>
      <w:r>
        <w:rPr>
          <w:bCs/>
          <w:b/>
        </w:rPr>
        <w:t xml:space="preserve">Tax Savings:</w:t>
      </w:r>
    </w:p>
    <w:p>
      <w:pPr>
        <w:numPr>
          <w:ilvl w:val="0"/>
          <w:numId w:val="1003"/>
        </w:numPr>
        <w:pStyle w:val="Compact"/>
      </w:pPr>
      <w:r>
        <w:rPr>
          <w:bCs/>
          <w:b/>
        </w:rPr>
        <w:t xml:space="preserve">Operational Efficiency:</w:t>
      </w:r>
      <w:r>
        <w:t xml:space="preserve">Germany Munich to make faster strategic decisions.</w:t>
      </w:r>
    </w:p>
    <w:bookmarkEnd w:id="29"/>
    <w:bookmarkStart w:id="30" w:name="conclusion"/>
    <w:p>
      <w:pPr>
        <w:pStyle w:val="Heading2"/>
      </w:pPr>
      <w:r>
        <w:t xml:space="preserve">7. Conclusion</w:t>
      </w:r>
    </w:p>
    <w:p>
      <w:pPr>
        <w:pStyle w:val="FirstParagraph"/>
      </w:pPr>
      <w:r>
        <w:t xml:space="preserve">This case study underscores that an Auditor is not merely a compliance checker but a strategic asset, particularly in the complex regulatory environment of</w:t>
      </w:r>
      <w:r>
        <w:t xml:space="preserve"> </w:t>
      </w:r>
      <w:r>
        <w:rPr>
          <w:bCs/>
          <w:b/>
        </w:rPr>
        <w:t xml:space="preserve">Germany Munich</w:t>
      </w:r>
      <w:r>
        <w:t xml:space="preserve">. For TechBau Bavaria GmbH, the engagement with their Auditor transformed financial governance from a reactive burden into a proactive competitive advantage. As businesses in Munich continue to face increasing regulatory scrutiny and economic pressures, the role of the Auditor will only grow in importance. Companies must view auditing as an integral part of their corporate strategy, ensuring that they not only meet the letter of the law but also uphold the highest standards of integrity and transparency expected in one of Europe’s most dynamic economies.</w:t>
      </w:r>
    </w:p>
    <w:p>
      <w:pPr>
        <w:pStyle w:val="BodyText"/>
      </w:pPr>
      <w:r>
        <w:rPr>
          <w:bCs/>
          <w:b/>
        </w:rPr>
        <w:t xml:space="preserve">Key Takeaway:</w:t>
      </w:r>
      <w:r>
        <w:t xml:space="preserve"> </w:t>
      </w:r>
      <w:r>
        <w:t xml:space="preserve">In</w:t>
      </w:r>
      <w:r>
        <w:t xml:space="preserve"> </w:t>
      </w:r>
      <w:r>
        <w:rPr>
          <w:bCs/>
          <w:b/>
        </w:rPr>
        <w:t xml:space="preserve">Germany Munich</w:t>
      </w:r>
      <w:r>
        <w:t xml:space="preserve">, financial success is inextricably linked to regulatory compliance. The expertise provided by a skilled Auditor is essential for navigating this landscape, ensuring long-term sustainability and trust.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Auditor in Germany Munich</dc:title>
  <dc:creator/>
  <dc:language>en</dc:language>
  <cp:keywords/>
  <dcterms:created xsi:type="dcterms:W3CDTF">2026-07-29T07:46:20Z</dcterms:created>
  <dcterms:modified xsi:type="dcterms:W3CDTF">2026-07-29T07:46:20Z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