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Indonesia</w:t>
      </w:r>
      <w:r>
        <w:t xml:space="preserve"> </w:t>
      </w:r>
      <w:r>
        <w:t xml:space="preserve">Jakarta</w:t>
      </w:r>
    </w:p>
    <w:bookmarkStart w:id="32" w:name="Xd6a603d0be9af85fadfe1dbf95c79e31a1d68cd"/>
    <w:p>
      <w:pPr>
        <w:pStyle w:val="Heading1"/>
      </w:pPr>
      <w:r>
        <w:t xml:space="preserve">Case Study: Enhancing Corporate Governance and Compliance through the Strategic Role of the Auditor in Indonesia Jakarta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Indonesia Jakarta</w:t>
      </w:r>
      <w:r>
        <w:br/>
      </w:r>
      <w:r>
        <w:rPr>
          <w:bCs/>
          <w:b/>
        </w:rPr>
        <w:t xml:space="preserve">Subject:</w:t>
      </w:r>
      <w:r>
        <w:t xml:space="preserve">The Critical Function of the Independent Auditor in a Rapidly Growing Economic Hub</w:t>
      </w:r>
    </w:p>
    <w:bookmarkStart w:id="20" w:name="executive-summary"/>
    <w:p>
      <w:pPr>
        <w:pStyle w:val="Heading2"/>
      </w:pPr>
      <w:r>
        <w:t xml:space="preserve">1. Executive Summary</w:t>
      </w:r>
    </w:p>
    <w:p>
      <w:pPr>
        <w:pStyle w:val="FirstParagraph"/>
      </w:pPr>
      <w:r>
        <w:t xml:space="preserve">In the dynamic economic landscape of Southeast Asia, Jakarta stands as the undisputed heart of Indonesia’s financial activity. As the capital city and primary business district, Indonesia Jakarta attracts millions in foreign direct investment daily. However, this influx of capital brings with it a complex web of regulatory requirements, diverse corporate structures, and heightened scrutiny from international stakeholders. This case study examines how the role of the</w:t>
      </w:r>
      <w:r>
        <w:t xml:space="preserve"> </w:t>
      </w:r>
      <w:r>
        <w:rPr>
          <w:bCs/>
          <w:b/>
        </w:rPr>
        <w:t xml:space="preserve">Auditor</w:t>
      </w:r>
      <w:r>
        <w:t xml:space="preserve"> </w:t>
      </w:r>
      <w:r>
        <w:t xml:space="preserve">has evolved from a traditional compliance checker to a strategic partner in maintaining market integrity within Indonesia Jakarta.</w:t>
      </w:r>
    </w:p>
    <w:p>
      <w:pPr>
        <w:pStyle w:val="BodyText"/>
      </w:pPr>
      <w:r>
        <w:t xml:space="preserve">The document highlights that as regulatory frameworks in Indonesia tighten—specifically those enforced by the Financial Services Authority (OJK) and the Capital Market and Financial Institutions Supervisory Agency (OJK)—the demand for high-quality, independent audit services has never been greater. The case study focuses on a hypothetical mid-sized conglomerate, "PT Nusantara Solusi," to illustrate these challenges.</w:t>
      </w:r>
    </w:p>
    <w:bookmarkEnd w:id="20"/>
    <w:bookmarkStart w:id="21" w:name="company-background-pt-nusantara-solusi"/>
    <w:p>
      <w:pPr>
        <w:pStyle w:val="Heading2"/>
      </w:pPr>
      <w:r>
        <w:t xml:space="preserve">2. Company Background: PT Nusantara Solusi</w:t>
      </w:r>
    </w:p>
    <w:p>
      <w:pPr>
        <w:pStyle w:val="FirstParagraph"/>
      </w:pPr>
      <w:r>
        <w:t xml:space="preserve">PT Nusantara Solusi is a diversified holding company headquartered in Indonesia Jakarta. With operations spanning real estate, digital payments, and manufacturing across the Indonesian archipelago, the company faced rapid expansion between 2018 and 2023. By early 2023, PT Nusantara Solusi sought to list on the Indonesia Stock Exchange (IDX) to raise capital for its next phase of growth. This transition necessitated a rigorous overhaul of its financial reporting mechanisms and internal controls.</w:t>
      </w:r>
    </w:p>
    <w:p>
      <w:pPr>
        <w:pStyle w:val="BodyText"/>
      </w:pPr>
      <w:r>
        <w:t xml:space="preserve">The primary challenge was not merely preparing financial statements but ensuring that the auditing process met the stringent expectations of both local regulators in Indonesia Jakarta and international investors. The company needed an</w:t>
      </w:r>
      <w:r>
        <w:t xml:space="preserve"> </w:t>
      </w:r>
      <w:r>
        <w:rPr>
          <w:bCs/>
          <w:b/>
        </w:rPr>
        <w:t xml:space="preserve">Auditor</w:t>
      </w:r>
      <w:r>
        <w:t xml:space="preserve"> </w:t>
      </w:r>
      <w:r>
        <w:t xml:space="preserve">who possessed deep knowledge of Indonesian Generally Accepted Auditing Standards (Standar Audit Indonesia or SAI) as well as International Financial Reporting Standards (IFRS).</w:t>
      </w:r>
    </w:p>
    <w:bookmarkEnd w:id="21"/>
    <w:bookmarkStart w:id="23" w:name="X9aff38de1cac8b4d7184ef30f67bbd34b224d2e"/>
    <w:p>
      <w:pPr>
        <w:pStyle w:val="Heading2"/>
      </w:pPr>
      <w:r>
        <w:t xml:space="preserve">3. The Challenge: Navigating Complexity in Indonesia Jakarta</w:t>
      </w:r>
    </w:p>
    <w:p>
      <w:pPr>
        <w:pStyle w:val="FirstParagraph"/>
      </w:pPr>
      <w:r>
        <w:t xml:space="preserve">The environment in Indonesia Jakarta presented unique hurdles for PT Nusantara Solusi:</w:t>
      </w:r>
    </w:p>
    <w:p>
      <w:pPr>
        <w:numPr>
          <w:ilvl w:val="0"/>
          <w:numId w:val="1001"/>
        </w:numPr>
        <w:pStyle w:val="Compact"/>
      </w:pPr>
      <w:r>
        <w:rPr>
          <w:bCs/>
          <w:b/>
        </w:rPr>
        <w:t xml:space="preserve">Regulatory Fragmentation:</w:t>
      </w:r>
    </w:p>
    <w:p>
      <w:pPr>
        <w:numPr>
          <w:ilvl w:val="0"/>
          <w:numId w:val="1001"/>
        </w:numPr>
        <w:pStyle w:val="Compact"/>
      </w:pPr>
      <w:r>
        <w:rPr>
          <w:bCs/>
          <w:b/>
        </w:rPr>
        <w:t xml:space="preserve">Digital Transformation Risks:</w:t>
      </w:r>
    </w:p>
    <w:p>
      <w:pPr>
        <w:numPr>
          <w:ilvl w:val="0"/>
          <w:numId w:val="1001"/>
        </w:numPr>
        <w:pStyle w:val="Compact"/>
      </w:pPr>
      <w:r>
        <w:rPr>
          <w:bCs/>
          <w:b/>
        </w:rPr>
        <w:t xml:space="preserve">Cultural Nuances:</w:t>
      </w:r>
      <w:r>
        <w:t xml:space="preserve">Auditor must navigate these relationship-driven dynamics while maintaining strict professional independence and skepticism.</w:t>
      </w:r>
    </w:p>
    <w:bookmarkStart w:id="22" w:name="the-core-problem"/>
    <w:p>
      <w:pPr>
        <w:pStyle w:val="Heading3"/>
      </w:pPr>
      <w:r>
        <w:t xml:space="preserve">The Core Problem</w:t>
      </w:r>
    </w:p>
    <w:p>
      <w:pPr>
        <w:pStyle w:val="FirstParagraph"/>
      </w:pPr>
      <w:r>
        <w:t xml:space="preserve">The previous internal audit function was reactive rather than proactive. PT Nusantara Solusi lacked a robust framework for risk assessment, making it difficult to provide the Board of Directors and potential investors with reliable assurance regarding the company’s financial health. The external</w:t>
      </w:r>
      <w:r>
        <w:t xml:space="preserve"> </w:t>
      </w:r>
      <w:r>
        <w:rPr>
          <w:bCs/>
          <w:b/>
        </w:rPr>
        <w:t xml:space="preserve">Auditor</w:t>
      </w:r>
      <w:r>
        <w:t xml:space="preserve"> </w:t>
      </w:r>
      <w:r>
        <w:t xml:space="preserve">engagement needed to address these foundational weaknesses.</w:t>
      </w:r>
    </w:p>
    <w:bookmarkEnd w:id="22"/>
    <w:bookmarkEnd w:id="23"/>
    <w:bookmarkStart w:id="27" w:name="X6863cdc7946b0030f012da3c745ad2d8bc410e5"/>
    <w:p>
      <w:pPr>
        <w:pStyle w:val="Heading2"/>
      </w:pPr>
      <w:r>
        <w:t xml:space="preserve">4. The Intervention: Implementing a Modern Audit Framework</w:t>
      </w:r>
    </w:p>
    <w:p>
      <w:pPr>
        <w:pStyle w:val="FirstParagraph"/>
      </w:pPr>
      <w:r>
        <w:t xml:space="preserve">To address these challenges, PT Nusantara Solusi engaged a top-tier audit firm with strong local presence in Indonesia Jakarta and global expertise. The intervention was structured around three pillars:</w:t>
      </w:r>
    </w:p>
    <w:bookmarkStart w:id="24" w:name="strengthening-internal-controls"/>
    <w:p>
      <w:pPr>
        <w:pStyle w:val="Heading3"/>
      </w:pPr>
      <w:r>
        <w:t xml:space="preserve">4.1 Strengthening Internal Controls</w:t>
      </w:r>
    </w:p>
    <w:p>
      <w:pPr>
        <w:pStyle w:val="FirstParagraph"/>
      </w:pPr>
      <w:r>
        <w:br/>
      </w:r>
    </w:p>
    <w:p>
      <w:pPr>
        <w:pStyle w:val="BodyText"/>
      </w:pPr>
      <w:r>
        <w:t xml:space="preserve">The first phase involved a comprehensive review of internal controls over financial reporting (ICFR). The</w:t>
      </w:r>
      <w:r>
        <w:t xml:space="preserve"> </w:t>
      </w:r>
      <w:r>
        <w:rPr>
          <w:bCs/>
          <w:b/>
        </w:rPr>
        <w:t xml:space="preserve">Auditor</w:t>
      </w:r>
      <w:r>
        <w:t xml:space="preserve"> </w:t>
      </w:r>
      <w:r>
        <w:t xml:space="preserve">worked closely with the management team in Indonesia Jakarta to identify gaps in approval workflows, specifically within the high-volume transactions of the digital payment division. Recommendations included implementing automated segregation of duties and real-time transaction monitoring.</w:t>
      </w:r>
    </w:p>
    <w:bookmarkEnd w:id="24"/>
    <w:bookmarkStart w:id="25" w:name="regulatory-alignment-with-ojk-standards"/>
    <w:p>
      <w:pPr>
        <w:pStyle w:val="Heading3"/>
      </w:pPr>
      <w:r>
        <w:t xml:space="preserve">4.2 Regulatory Alignment with OJK Standards</w:t>
      </w:r>
    </w:p>
    <w:p>
      <w:pPr>
        <w:pStyle w:val="FirstParagraph"/>
      </w:pPr>
      <w:r>
        <w:br/>
      </w:r>
    </w:p>
    <w:p>
      <w:pPr>
        <w:pStyle w:val="BodyText"/>
      </w:pPr>
      <w:r>
        <w:t xml:space="preserve">Given that PT Nusantara Solusi operates in a sector heavily regulated by the OJK, the audit scope was expanded to include specific regulatory compliance checks. The</w:t>
      </w:r>
      <w:r>
        <w:t xml:space="preserve"> </w:t>
      </w:r>
      <w:r>
        <w:rPr>
          <w:bCs/>
          <w:b/>
        </w:rPr>
        <w:t xml:space="preserve">Auditor</w:t>
      </w:r>
      <w:r>
        <w:t xml:space="preserve"> </w:t>
      </w:r>
      <w:r>
        <w:t xml:space="preserve">ensured that capital adequacy ratios and liquidity requirements were not only met but transparently reported. This alignment was crucial for obtaining approval for the IPO in Indonesia Jakarta.</w:t>
      </w:r>
    </w:p>
    <w:bookmarkEnd w:id="25"/>
    <w:bookmarkStart w:id="26" w:name="technology-driven-auditing"/>
    <w:p>
      <w:pPr>
        <w:pStyle w:val="Heading3"/>
      </w:pPr>
      <w:r>
        <w:t xml:space="preserve">4.3 Technology-Driven Auditing</w:t>
      </w:r>
    </w:p>
    <w:p>
      <w:pPr>
        <w:pStyle w:val="FirstParagraph"/>
      </w:pPr>
      <w:r>
        <w:br/>
      </w:r>
    </w:p>
    <w:p>
      <w:pPr>
        <w:pStyle w:val="BodyText"/>
      </w:pPr>
      <w:r>
        <w:t xml:space="preserve">Leveraging data analytics tools, the</w:t>
      </w:r>
      <w:r>
        <w:t xml:space="preserve"> </w:t>
      </w:r>
      <w:r>
        <w:rPr>
          <w:bCs/>
          <w:b/>
        </w:rPr>
        <w:t xml:space="preserve">Auditor</w:t>
      </w:r>
      <w:r>
        <w:t xml:space="preserve"> </w:t>
      </w:r>
      <w:r>
        <w:t xml:space="preserve">moved away from sample-based testing to full population analysis. This allowed for the detection of anomalies that traditional methods might have missed, such as duplicate vendor payments or unusual transaction patterns indicative of fraud. The use of technology also provided real-time insights to the audit committee, enhancing governance.</w:t>
      </w:r>
    </w:p>
    <w:bookmarkEnd w:id="26"/>
    <w:bookmarkEnd w:id="27"/>
    <w:bookmarkStart w:id="28" w:name="outcomes-and-impact"/>
    <w:p>
      <w:pPr>
        <w:pStyle w:val="Heading2"/>
      </w:pPr>
      <w:r>
        <w:t xml:space="preserve">5. Outcomes and Impact</w:t>
      </w:r>
    </w:p>
    <w:p>
      <w:pPr>
        <w:pStyle w:val="FirstParagraph"/>
      </w:pPr>
      <w:r>
        <w:t xml:space="preserve">The engagement yielded significant positive outcomes for PT Nusantara Solusi:</w:t>
      </w:r>
    </w:p>
    <w:p>
      <w:pPr>
        <w:numPr>
          <w:ilvl w:val="0"/>
          <w:numId w:val="1002"/>
        </w:numPr>
        <w:pStyle w:val="Compact"/>
      </w:pPr>
      <w:r>
        <w:rPr>
          <w:bCs/>
          <w:b/>
        </w:rPr>
        <w:t xml:space="preserve">IPO Success:</w:t>
      </w:r>
    </w:p>
    <w:p>
      <w:pPr>
        <w:numPr>
          <w:ilvl w:val="0"/>
          <w:numId w:val="1002"/>
        </w:numPr>
        <w:pStyle w:val="Compact"/>
      </w:pPr>
      <w:r>
        <w:rPr>
          <w:bCs/>
          <w:b/>
        </w:rPr>
        <w:t xml:space="preserve">Enhanced Governance:</w:t>
      </w:r>
    </w:p>
    <w:p>
      <w:pPr>
        <w:numPr>
          <w:ilvl w:val="0"/>
          <w:numId w:val="1002"/>
        </w:numPr>
        <w:pStyle w:val="Compact"/>
      </w:pPr>
      <w:r>
        <w:rPr>
          <w:bCs/>
          <w:b/>
        </w:rPr>
        <w:t xml:space="preserve">Cultural Shift:</w:t>
      </w:r>
    </w:p>
    <w:p>
      <w:pPr>
        <w:numPr>
          <w:ilvl w:val="0"/>
          <w:numId w:val="1002"/>
        </w:numPr>
        <w:pStyle w:val="Compact"/>
      </w:pPr>
      <w:r>
        <w:rPr>
          <w:bCs/>
          <w:b/>
        </w:rPr>
        <w:t xml:space="preserve">Fraud Prevention:</w:t>
      </w:r>
      <w:r>
        <w:t xml:space="preserve">Auditor, instances of minor financial discrepancies dropped by 85%.</w:t>
      </w:r>
    </w:p>
    <w:bookmarkEnd w:id="28"/>
    <w:bookmarkStart w:id="29" w:name="key-lessons-learned"/>
    <w:p>
      <w:pPr>
        <w:pStyle w:val="Heading2"/>
      </w:pPr>
      <w:r>
        <w:t xml:space="preserve">6. Key Lessons Learned</w:t>
      </w:r>
    </w:p>
    <w:p>
      <w:pPr>
        <w:pStyle w:val="FirstParagraph"/>
      </w:pPr>
      <w:r>
        <w:t xml:space="preserve">This case study underscores several critical lessons for companies operating in Indonesia Jakarta:</w:t>
      </w:r>
    </w:p>
    <w:p>
      <w:pPr>
        <w:numPr>
          <w:ilvl w:val="0"/>
          <w:numId w:val="1003"/>
        </w:numPr>
        <w:pStyle w:val="Compact"/>
      </w:pPr>
      <w:r>
        <w:rPr>
          <w:bCs/>
          <w:b/>
        </w:rPr>
        <w:t xml:space="preserve">The Auditor is a Strategic Asset:</w:t>
      </w:r>
    </w:p>
    <w:p>
      <w:pPr>
        <w:numPr>
          <w:ilvl w:val="0"/>
          <w:numId w:val="1003"/>
        </w:numPr>
        <w:pStyle w:val="Compact"/>
      </w:pPr>
      <w:r>
        <w:rPr>
          <w:bCs/>
          <w:b/>
        </w:rPr>
        <w:t xml:space="preserve">Local Expertise is Non-Negotiable:</w:t>
      </w:r>
    </w:p>
    <w:p>
      <w:pPr>
        <w:numPr>
          <w:ilvl w:val="0"/>
          <w:numId w:val="1003"/>
        </w:numPr>
        <w:pStyle w:val="Compact"/>
      </w:pPr>
      <w:r>
        <w:rPr>
          <w:bCs/>
          <w:b/>
        </w:rPr>
        <w:t xml:space="preserve">Technology Enhances Reliability:</w:t>
      </w:r>
    </w:p>
    <w:bookmarkEnd w:id="29"/>
    <w:bookmarkStart w:id="30" w:name="conclusion"/>
    <w:p>
      <w:pPr>
        <w:pStyle w:val="Heading2"/>
      </w:pPr>
      <w:r>
        <w:t xml:space="preserve">7. Conclusion</w:t>
      </w:r>
    </w:p>
    <w:p>
      <w:pPr>
        <w:pStyle w:val="FirstParagraph"/>
      </w:pPr>
      <w:r>
        <w:t xml:space="preserve">The case of PT Nusantara Solusi illustrates that in Indonesia Jakarta, where economic activity is vibrant and regulatory oversight is increasingly stringent, the role of the auditor has fundamentally transformed. It is no longer sufficient to rely on annual compliance checks. Companies must engage auditors who can provide continuous assurance, navigate complex regulatory landscapes, and leverage technology to uncover risks.</w:t>
      </w:r>
    </w:p>
    <w:p>
      <w:pPr>
        <w:pStyle w:val="BodyText"/>
      </w:pPr>
      <w:r>
        <w:t xml:space="preserve">For any organization aiming for sustainable growth and international credibility in Indonesia Jakarta, investing in high-quality audit services is not just a regulatory obligation—it is a competitive advantage. The auditor serves as the guardian of trust, ensuring that financial reporting remains transparent, accurate, and reliable amidst the bustling economic activity of Jakarta.</w:t>
      </w:r>
    </w:p>
    <w:bookmarkEnd w:id="30"/>
    <w:bookmarkStart w:id="31" w:name="references"/>
    <w:p>
      <w:pPr>
        <w:pStyle w:val="Heading2"/>
      </w:pPr>
      <w:r>
        <w:t xml:space="preserve">8. References</w:t>
      </w:r>
    </w:p>
    <w:p>
      <w:pPr>
        <w:numPr>
          <w:ilvl w:val="0"/>
          <w:numId w:val="1004"/>
        </w:numPr>
        <w:pStyle w:val="Compact"/>
      </w:pPr>
      <w:r>
        <w:t xml:space="preserve">Financial Services Authority (OJK) Regulations on Audit Requirements for Public Companies.</w:t>
      </w:r>
    </w:p>
    <w:p>
      <w:pPr>
        <w:numPr>
          <w:ilvl w:val="0"/>
          <w:numId w:val="1004"/>
        </w:numPr>
        <w:pStyle w:val="Compact"/>
      </w:pPr>
      <w:r>
        <w:t xml:space="preserve">Institute of Internal Auditors Indonesia (IIA Indonesia) Standards of Practice.</w:t>
      </w:r>
    </w:p>
    <w:p>
      <w:pPr>
        <w:numPr>
          <w:ilvl w:val="0"/>
          <w:numId w:val="1004"/>
        </w:numPr>
        <w:pStyle w:val="Compact"/>
      </w:pPr>
      <w:r>
        <w:t xml:space="preserve">International Federation of Accountants (IFAC) Guidelines on Auditing in Emerging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Indonesia Jakarta</dc:title>
  <dc:creator/>
  <dc:language>en</dc:language>
  <cp:keywords/>
  <dcterms:created xsi:type="dcterms:W3CDTF">2026-07-29T05:49:38Z</dcterms:created>
  <dcterms:modified xsi:type="dcterms:W3CDTF">2026-07-29T05:49:38Z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