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Iran</w:t>
      </w:r>
      <w:r>
        <w:t xml:space="preserve"> </w:t>
      </w:r>
      <w:r>
        <w:t xml:space="preserve">Tehran</w:t>
      </w:r>
    </w:p>
    <w:bookmarkStart w:id="31" w:name="X2952586827e37983bca8110a5f7badf728b4cd8"/>
    <w:p>
      <w:pPr>
        <w:pStyle w:val="Heading1"/>
      </w:pPr>
      <w:r>
        <w:t xml:space="preserve">Case Study: Navigating Complexity – The Evolving Role of the Auditor in Iran Tehran</w:t>
      </w:r>
    </w:p>
    <w:p>
      <w:pPr>
        <w:pStyle w:val="FirstParagraph"/>
      </w:pPr>
      <w:r>
        <w:rPr>
          <w:bCs/>
          <w:b/>
        </w:rPr>
        <w:t xml:space="preserve">Date:</w:t>
      </w:r>
      <w:r>
        <w:t xml:space="preserve"> </w:t>
      </w:r>
      <w:r>
        <w:t xml:space="preserve">October 2023</w:t>
      </w:r>
      <w:r>
        <w:br/>
      </w:r>
      <w:r>
        <w:rPr>
          <w:iCs/>
          <w:i/>
        </w:rPr>
        <w:t xml:space="preserve">Iran, Tehran</w:t>
      </w:r>
      <w:r>
        <w:br/>
      </w:r>
      <w:r>
        <w:t xml:space="preserve">The intersection of international standards and local regulatory frameworks in corporate governance.</w:t>
      </w:r>
    </w:p>
    <w:bookmarkStart w:id="20" w:name="executive-summary"/>
    <w:p>
      <w:pPr>
        <w:pStyle w:val="Heading2"/>
      </w:pPr>
      <w:r>
        <w:t xml:space="preserve">1. Executive Summary</w:t>
      </w:r>
    </w:p>
    <w:p>
      <w:pPr>
        <w:pStyle w:val="FirstParagraph"/>
      </w:pPr>
      <w:r>
        <w:t xml:space="preserve">In the dynamic economic landscape of the Middle East, the capital city of Tehran stands as a critical hub for commerce, energy, and technology within Iran. However, operating within this region presents unique challenges due to geopolitical pressures, sanctions regimes, and distinct local regulatory environments. This case study examines the pivotal role of the</w:t>
      </w:r>
      <w:r>
        <w:t xml:space="preserve"> </w:t>
      </w:r>
      <w:r>
        <w:rPr>
          <w:bCs/>
          <w:b/>
        </w:rPr>
        <w:t xml:space="preserve">Auditor</w:t>
      </w:r>
      <w:r>
        <w:t xml:space="preserve"> </w:t>
      </w:r>
      <w:r>
        <w:t xml:space="preserve">in</w:t>
      </w:r>
      <w:r>
        <w:t xml:space="preserve"> </w:t>
      </w:r>
      <w:r>
        <w:rPr>
          <w:bCs/>
          <w:b/>
        </w:rPr>
        <w:t xml:space="preserve">Iran Tehran</w:t>
      </w:r>
      <w:r>
        <w:t xml:space="preserve">. It explores how internal and external auditors navigate the dual pressure of maintaining international compliance standards (such as IFRS) while adhering to the specific statutory requirements set by Iranian banking laws and local tax authorities. The primary objective is to understand how transparency is achieved in a market that requires delicate balancing acts between global expectations and local realities.</w:t>
      </w:r>
    </w:p>
    <w:bookmarkEnd w:id="20"/>
    <w:bookmarkStart w:id="21" w:name="background-and-context"/>
    <w:p>
      <w:pPr>
        <w:pStyle w:val="Heading2"/>
      </w:pPr>
      <w:r>
        <w:t xml:space="preserve">2. Background and Context</w:t>
      </w:r>
    </w:p>
    <w:p>
      <w:pPr>
        <w:pStyle w:val="FirstParagraph"/>
      </w:pPr>
      <w:r>
        <w:rPr>
          <w:bCs/>
          <w:b/>
        </w:rPr>
        <w:t xml:space="preserve">Iran Tehran</w:t>
      </w:r>
      <w:r>
        <w:t xml:space="preserve"> </w:t>
      </w:r>
      <w:r>
        <w:t xml:space="preserve">serves as the economic heart of the country, hosting the majority of its multinational corporations, state-owned enterprises (SOEs), and banking institutions. The city’s financial district is bustling with activity, yet it operates under a complex web of regulations. For decades, Iranian businesses have faced international sanctions that have isolated their financial systems from global networks like SWIFT to varying degrees. Consequently, the</w:t>
      </w:r>
      <w:r>
        <w:t xml:space="preserve"> </w:t>
      </w:r>
      <w:r>
        <w:rPr>
          <w:bCs/>
          <w:b/>
        </w:rPr>
        <w:t xml:space="preserve">Auditor</w:t>
      </w:r>
      <w:r>
        <w:t xml:space="preserve"> </w:t>
      </w:r>
      <w:r>
        <w:t xml:space="preserve">has emerged not merely as a checker of arithmetic but as a crucial bridge between local operations and potential international partnerships.</w:t>
      </w:r>
    </w:p>
    <w:p>
      <w:pPr>
        <w:pStyle w:val="BodyText"/>
      </w:pPr>
      <w:r>
        <w:t xml:space="preserve">The regulatory framework in Iran is primarily governed by the Central Bank of Iran (CBI) and the Accounting and Auditing Organization of Iran (AAOI). These bodies mandate strict adherence to Iranian Generally Accepted Accounting Principles (Iran GAAP), which have increasingly converged with International Financial Reporting Standards (IFRS) in recent years. However, nuances remain. For instance, specific provisions regarding foreign currency transactions, inflation adjustments, and related-party disclosures differ significantly from Western norms.</w:t>
      </w:r>
    </w:p>
    <w:bookmarkEnd w:id="21"/>
    <w:bookmarkStart w:id="22" w:name="Xd9955fa359032cb1c08e32d1ec18d08aa4053b3"/>
    <w:p>
      <w:pPr>
        <w:pStyle w:val="Heading2"/>
      </w:pPr>
      <w:r>
        <w:t xml:space="preserve">3. The Challenge: Divergent Standards and Sanctions</w:t>
      </w:r>
    </w:p>
    <w:p>
      <w:pPr>
        <w:pStyle w:val="FirstParagraph"/>
      </w:pPr>
      <w:r>
        <w:t xml:space="preserve">The core challenge for the</w:t>
      </w:r>
      <w:r>
        <w:t xml:space="preserve"> </w:t>
      </w:r>
      <w:r>
        <w:rPr>
          <w:bCs/>
          <w:b/>
        </w:rPr>
        <w:t xml:space="preserve">Auditor</w:t>
      </w:r>
      <w:r>
        <w:t xml:space="preserve"> </w:t>
      </w:r>
      <w:r>
        <w:t xml:space="preserve">in this context is twofold:</w:t>
      </w:r>
    </w:p>
    <w:p>
      <w:pPr>
        <w:numPr>
          <w:ilvl w:val="0"/>
          <w:numId w:val="1001"/>
        </w:numPr>
        <w:pStyle w:val="Compact"/>
      </w:pPr>
      <w:r>
        <w:rPr>
          <w:bCs/>
          <w:b/>
        </w:rPr>
        <w:t xml:space="preserve">Navigating Sanctions Compliance:</w:t>
      </w:r>
    </w:p>
    <w:p>
      <w:pPr>
        <w:numPr>
          <w:ilvl w:val="0"/>
          <w:numId w:val="1001"/>
        </w:numPr>
        <w:pStyle w:val="Compact"/>
      </w:pPr>
      <w:r>
        <w:rPr>
          <w:bCs/>
          <w:b/>
        </w:rPr>
        <w:t xml:space="preserve">Reconciling GAAP Variations:</w:t>
      </w:r>
      <w:r>
        <w:t xml:space="preserve"> </w:t>
      </w:r>
      <w:r>
        <w:t xml:space="preserve">While IFRS is widely adopted in</w:t>
      </w:r>
      <w:r>
        <w:t xml:space="preserve"> </w:t>
      </w:r>
      <w:r>
        <w:rPr>
          <w:bCs/>
          <w:b/>
        </w:rPr>
        <w:t xml:space="preserve">Iran Tehran</w:t>
      </w:r>
      <w:r>
        <w:t xml:space="preserve">, local laws often require specific disclosures that are not present in global standards. For example, the requirement to adjust for high inflation rates is more rigorous under Iranian law than under many international frameworks. Auditors must perform complex adjustments to ensure that financial statements are fair, true, and compliant with local tax authorities.</w:t>
      </w:r>
    </w:p>
    <w:bookmarkEnd w:id="22"/>
    <w:bookmarkStart w:id="26" w:name="methodology-the-modern-auditors-toolkit"/>
    <w:p>
      <w:pPr>
        <w:pStyle w:val="Heading2"/>
      </w:pPr>
      <w:r>
        <w:t xml:space="preserve">4. Methodology: The Modern Auditor’s Toolkit</w:t>
      </w:r>
    </w:p>
    <w:p>
      <w:pPr>
        <w:pStyle w:val="FirstParagraph"/>
      </w:pPr>
      <w:r>
        <w:t xml:space="preserve">To address these challenges, firms operating in the market have adapted their methodologies. In this case study of a mid-sized manufacturing conglomerate based in Tehran, we observe three key adaptations:</w:t>
      </w:r>
    </w:p>
    <w:bookmarkStart w:id="23" w:name="a.-enhanced-due-diligence-edd"/>
    <w:p>
      <w:pPr>
        <w:pStyle w:val="Heading3"/>
      </w:pPr>
      <w:r>
        <w:t xml:space="preserve">A. Enhanced Due Diligence (EDD)</w:t>
      </w:r>
    </w:p>
    <w:p>
      <w:pPr>
        <w:pStyle w:val="FirstParagraph"/>
      </w:pPr>
      <w:r>
        <w:t xml:space="preserve">The role of the</w:t>
      </w:r>
      <w:r>
        <w:t xml:space="preserve"> </w:t>
      </w:r>
      <w:r>
        <w:rPr>
          <w:bCs/>
          <w:b/>
        </w:rPr>
        <w:t xml:space="preserve">Auditor</w:t>
      </w:r>
      <w:r>
        <w:t xml:space="preserve"> </w:t>
      </w:r>
      <w:r>
        <w:t xml:space="preserve">has expanded to include rigorous Enhanced Due Diligence on suppliers and customers. Given the high risk of secondary sanctions affecting foreign banks, auditors in Tehran now utilize specialized software to screen transaction chains. This ensures that the client’s supply chain does not inadvertently involve sanctioned entities, thereby protecting the company from severe penalties.</w:t>
      </w:r>
    </w:p>
    <w:bookmarkEnd w:id="23"/>
    <w:bookmarkStart w:id="24" w:name="b.-technology-driven-audits"/>
    <w:p>
      <w:pPr>
        <w:pStyle w:val="Heading3"/>
      </w:pPr>
      <w:r>
        <w:t xml:space="preserve">B. Technology-Driven Audits</w:t>
      </w:r>
    </w:p>
    <w:p>
      <w:pPr>
        <w:pStyle w:val="FirstParagraph"/>
      </w:pPr>
      <w:r>
        <w:t xml:space="preserve">Data scarcity and opacity are common concerns in emerging markets. To combat this, auditors in Tehran have increasingly adopted Data Analytics tools. By analyzing 100% of transactional data rather than relying on sampling, auditors can identify anomalies related to fraud or misstatement more effectively. This is particularly crucial for detecting kickbacks or off-book liabilities that might not appear in standard ledger reviews.</w:t>
      </w:r>
    </w:p>
    <w:bookmarkEnd w:id="24"/>
    <w:bookmarkStart w:id="25" w:name="c.-stakeholder-communication"/>
    <w:p>
      <w:pPr>
        <w:pStyle w:val="Heading3"/>
      </w:pPr>
      <w:r>
        <w:t xml:space="preserve">C. Stakeholder Communication</w:t>
      </w:r>
    </w:p>
    <w:p>
      <w:pPr>
        <w:pStyle w:val="FirstParagraph"/>
      </w:pPr>
      <w:r>
        <w:t xml:space="preserve">The auditor must communicate effectively with a diverse group of stakeholders, including local regulators who demand strict adherence to national interests, and foreign shareholders (if any) who require transparency according to global standards. This requires a high level of cultural and linguistic intelligence.</w:t>
      </w:r>
    </w:p>
    <w:bookmarkEnd w:id="25"/>
    <w:bookmarkEnd w:id="26"/>
    <w:bookmarkStart w:id="27" w:name="case-analysis-implementation-in-tehran"/>
    <w:p>
      <w:pPr>
        <w:pStyle w:val="Heading2"/>
      </w:pPr>
      <w:r>
        <w:t xml:space="preserve">5. Case Analysis: Implementation in Tehran</w:t>
      </w:r>
    </w:p>
    <w:p>
      <w:pPr>
        <w:pStyle w:val="FirstParagraph"/>
      </w:pPr>
      <w:r>
        <w:t xml:space="preserve">In our specific scenario, a major export company based in Tehran faced difficulties renewing its credit lines due to unclear financial disclosures regarding its trade partners. The appointed</w:t>
      </w:r>
      <w:r>
        <w:t xml:space="preserve"> </w:t>
      </w:r>
      <w:r>
        <w:rPr>
          <w:bCs/>
          <w:b/>
        </w:rPr>
        <w:t xml:space="preserve">Auditor</w:t>
      </w:r>
      <w:r>
        <w:t xml:space="preserve">, acting on behalf of the board, conducted a forensic review of the last three years of transactions.</w:t>
      </w:r>
    </w:p>
    <w:p>
      <w:pPr>
        <w:pStyle w:val="BodyText"/>
      </w:pPr>
      <w:r>
        <w:t xml:space="preserve">The auditor identified that several invoices lacked sufficient supporting documentation required by both Iranian export regulations and international anti-money laundering (AML) standards. By restructuring the documentation process and creating a transparent audit trail for cross-border payments, the company was able to regain trust with its banking partners in neighboring regions. This case highlights that the value of an</w:t>
      </w:r>
      <w:r>
        <w:t xml:space="preserve"> </w:t>
      </w:r>
      <w:r>
        <w:rPr>
          <w:bCs/>
          <w:b/>
        </w:rPr>
        <w:t xml:space="preserve">Auditor</w:t>
      </w:r>
      <w:r>
        <w:t xml:space="preserve"> </w:t>
      </w:r>
      <w:r>
        <w:t xml:space="preserve">is not just in finding errors, but in restoring operational viability and reputation.</w:t>
      </w:r>
    </w:p>
    <w:bookmarkEnd w:id="27"/>
    <w:bookmarkStart w:id="28" w:name="key-findings"/>
    <w:p>
      <w:pPr>
        <w:pStyle w:val="Heading2"/>
      </w:pPr>
      <w:r>
        <w:t xml:space="preserve">6. Key Findings</w:t>
      </w:r>
    </w:p>
    <w:p>
      <w:pPr>
        <w:numPr>
          <w:ilvl w:val="0"/>
          <w:numId w:val="1002"/>
        </w:numPr>
        <w:pStyle w:val="Compact"/>
      </w:pPr>
      <w:r>
        <w:rPr>
          <w:bCs/>
          <w:b/>
        </w:rPr>
        <w:t xml:space="preserve">Bridging the Gap:</w:t>
      </w:r>
    </w:p>
    <w:p>
      <w:pPr>
        <w:numPr>
          <w:ilvl w:val="0"/>
          <w:numId w:val="1002"/>
        </w:numPr>
        <w:pStyle w:val="Compact"/>
      </w:pPr>
      <w:r>
        <w:rPr>
          <w:bCs/>
          <w:b/>
        </w:rPr>
        <w:t xml:space="preserve">Risk Management:</w:t>
      </w:r>
      <w:r>
        <w:t xml:space="preserve"> </w:t>
      </w:r>
      <w:r>
        <w:t xml:space="preserve">With sanctions remaining a constant variable, the auditor’s role in risk management is paramount. They are often the first line of defense against regulatory breaches.</w:t>
      </w:r>
    </w:p>
    <w:p>
      <w:pPr>
        <w:numPr>
          <w:ilvl w:val="0"/>
          <w:numId w:val="1002"/>
        </w:numPr>
        <w:pStyle w:val="Compact"/>
      </w:pPr>
      <w:r>
        <w:rPr>
          <w:bCs/>
          <w:b/>
        </w:rPr>
        <w:t xml:space="preserve">Digital Transformation:</w:t>
      </w:r>
      <w:r>
        <w:t xml:space="preserve"> </w:t>
      </w:r>
      <w:r>
        <w:t xml:space="preserve">The adoption of digital audit tools is accelerating in Tehran, driven by the need for efficiency and accuracy in a volatile economic environment.</w:t>
      </w:r>
    </w:p>
    <w:bookmarkEnd w:id="28"/>
    <w:bookmarkStart w:id="29" w:name="conclusion"/>
    <w:p>
      <w:pPr>
        <w:pStyle w:val="Heading2"/>
      </w:pPr>
      <w:r>
        <w:t xml:space="preserve">7. Conclusion</w:t>
      </w:r>
    </w:p>
    <w:p>
      <w:pPr>
        <w:pStyle w:val="FirstParagraph"/>
      </w:pPr>
      <w:r>
        <w:t xml:space="preserve">The role of the auditor in this context is far more complex than traditional definitions suggest. In an economy like that of Iran, where Tehran serves as the central nervous system of financial activity, the auditor provides essential assurance to investors, regulators, and partners. They must possess a rare combination of technical accounting skills, legal knowledge regarding sanctions and local law, and strategic insight into geopolitical risks.</w:t>
      </w:r>
    </w:p>
    <w:p>
      <w:pPr>
        <w:pStyle w:val="BodyText"/>
      </w:pPr>
      <w:r>
        <w:t xml:space="preserve">As global economic dynamics continue to shift, the demand for rigorous auditing in this region will only increase. Companies operating in Tehran that invest in high-quality audit functions find themselves better positioned to navigate uncertainty, ensure compliance, and maintain credibility on both a local and potential future international stage. The auditor is not just an observer of history but an active participant in building a sustainable and compliant business environment.</w:t>
      </w:r>
    </w:p>
    <w:bookmarkEnd w:id="29"/>
    <w:bookmarkStart w:id="30" w:name="recommendations-for-future-practice"/>
    <w:p>
      <w:pPr>
        <w:pStyle w:val="Heading2"/>
      </w:pPr>
      <w:r>
        <w:t xml:space="preserve">8. Recommendations for Future Practice</w:t>
      </w:r>
    </w:p>
    <w:p>
      <w:pPr>
        <w:numPr>
          <w:ilvl w:val="0"/>
          <w:numId w:val="1003"/>
        </w:numPr>
        <w:pStyle w:val="Compact"/>
      </w:pPr>
      <w:r>
        <w:rPr>
          <w:bCs/>
          <w:b/>
        </w:rPr>
        <w:t xml:space="preserve">Continuous Training:</w:t>
      </w:r>
      <w:r>
        <w:t xml:space="preserve">Firms should prioritize ongoing training for auditors on evolving sanction regimes and changes in Iranian accounting standards.</w:t>
      </w:r>
    </w:p>
    <w:p>
      <w:pPr>
        <w:numPr>
          <w:ilvl w:val="0"/>
          <w:numId w:val="1003"/>
        </w:numPr>
        <w:pStyle w:val="Compact"/>
      </w:pPr>
      <w:r>
        <w:rPr>
          <w:bCs/>
          <w:b/>
        </w:rPr>
        <w:t xml:space="preserve">Cross-Border Collaboration:</w:t>
      </w:r>
      <w:r>
        <w:t xml:space="preserve">Auditing firms in Tehran should seek alliances with international counterparts to stay abreast of global compliance trends, ensuring that local practices do not become isolated from global norms.</w:t>
      </w:r>
    </w:p>
    <w:p>
      <w:pPr>
        <w:numPr>
          <w:ilvl w:val="0"/>
          <w:numId w:val="1003"/>
        </w:numPr>
        <w:pStyle w:val="Compact"/>
      </w:pPr>
      <w:r>
        <w:rPr>
          <w:bCs/>
          <w:b/>
        </w:rPr>
        <w:t xml:space="preserve">Digital Infrastructure Investment:</w:t>
      </w:r>
      <w:r>
        <w:t xml:space="preserve">Continued investment in secure, digital audit platforms will enhance data integrity and operational efficiency.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Iran Tehran</dc:title>
  <dc:creator/>
  <dc:language>en</dc:language>
  <cp:keywords/>
  <dcterms:created xsi:type="dcterms:W3CDTF">2026-07-29T12:11:03Z</dcterms:created>
  <dcterms:modified xsi:type="dcterms:W3CDTF">2026-07-29T12:11:03Z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