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Myanmar,</w:t>
      </w:r>
      <w:r>
        <w:t xml:space="preserve"> </w:t>
      </w:r>
      <w:r>
        <w:t xml:space="preserve">Yangon</w:t>
      </w:r>
    </w:p>
    <w:bookmarkStart w:id="29" w:name="Xf9fd475a60d9134535d55f93a62b9377d3c323e"/>
    <w:p>
      <w:pPr>
        <w:pStyle w:val="Heading1"/>
      </w:pPr>
      <w:r>
        <w:t xml:space="preserve">Case Study: The Evolving Role of the Auditor in Myanmar, Yangon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Auditor</w:t>
      </w:r>
      <w:r>
        <w:t xml:space="preserve">: Professional Standards Review Unit (PSRU)</w:t>
      </w:r>
      <w:r>
        <w:br/>
      </w:r>
      <w:r>
        <w:rPr>
          <w:iCs/>
          <w:i/>
        </w:rPr>
        <w:t xml:space="preserve">Focusing on the economic and regulatory landscape of</w:t>
      </w:r>
      <w:r>
        <w:t xml:space="preserve"> </w:t>
      </w:r>
      <w:r>
        <w:rPr>
          <w:bCs/>
          <w:b/>
        </w:rPr>
        <w:t xml:space="preserve">Myanmar Yangon</w:t>
      </w:r>
    </w:p>
    <w:bookmarkStart w:id="20" w:name="executive-summary"/>
    <w:p>
      <w:pPr>
        <w:pStyle w:val="Heading2"/>
      </w:pPr>
      <w:r>
        <w:t xml:space="preserve">1. Executive Summary</w:t>
      </w:r>
    </w:p>
    <w:p>
      <w:pPr>
        <w:pStyle w:val="FirstParagraph"/>
      </w:pPr>
      <w:r>
        <w:t xml:space="preserve">This case study examines the critical function of the professional Auditor within the dynamic economic hub of Myanmar, specifically focusing on Yangon. As Myanmar attempts to navigate a complex period of political transition, international sanctions, and internal restructuring, the role of financial oversight has become more significant than ever before. This document analyzes how modern auditing practices are adapting to local challenges in</w:t>
      </w:r>
      <w:r>
        <w:t xml:space="preserve"> </w:t>
      </w:r>
      <w:r>
        <w:rPr>
          <w:bCs/>
          <w:b/>
        </w:rPr>
        <w:t xml:space="preserve">Myanmar Yangon</w:t>
      </w:r>
      <w:r>
        <w:t xml:space="preserve">, highlighting the necessity for rigorous compliance, ethical integrity, and strategic risk management. The primary objective is to demonstrate that despite external pressures, the discipline of auditing remains a cornerstone for economic stability and investor confidence in the region.</w:t>
      </w:r>
    </w:p>
    <w:bookmarkEnd w:id="20"/>
    <w:bookmarkStart w:id="21" w:name="introduction-the-context-of-yangon"/>
    <w:p>
      <w:pPr>
        <w:pStyle w:val="Heading2"/>
      </w:pPr>
      <w:r>
        <w:t xml:space="preserve">2. Introduction: The Context of Yangon</w:t>
      </w:r>
    </w:p>
    <w:p>
      <w:pPr>
        <w:pStyle w:val="FirstParagraph"/>
      </w:pPr>
      <w:r>
        <w:rPr>
          <w:bCs/>
          <w:b/>
        </w:rPr>
        <w:t xml:space="preserve">Myanmar Yangon</w:t>
      </w:r>
      <w:r>
        <w:t xml:space="preserve">, historically known as Rangoon, serves as the commercial capital and largest city of Myanmar. For decades, it has been the beating heart of the nation’s financial activities, hosting the majority of banks, insurance companies, foreign diplomatic missions, and multinational corporations. Consequently, this metropolis is where the majority of auditing firms establish their headquarters to service high-stakes corporate clients.</w:t>
      </w:r>
    </w:p>
    <w:p>
      <w:pPr>
        <w:pStyle w:val="BodyText"/>
      </w:pPr>
      <w:r>
        <w:t xml:space="preserve">However, recent years have introduced unprecedented volatility. Changes in regulatory frameworks from international bodies such as the Financial Action Task Force (FATF), coupled with domestic economic shifts, have forced businesses and their appointed</w:t>
      </w:r>
      <w:r>
        <w:t xml:space="preserve"> </w:t>
      </w:r>
      <w:r>
        <w:rPr>
          <w:bCs/>
          <w:b/>
        </w:rPr>
        <w:t xml:space="preserve">Auditor</w:t>
      </w:r>
      <w:r>
        <w:t xml:space="preserve"> </w:t>
      </w:r>
      <w:r>
        <w:t xml:space="preserve">professionals to reassess their operational methodologies. The case study explores how these external pressures are reshaping the internal culture of auditing firms operating within</w:t>
      </w:r>
      <w:r>
        <w:t xml:space="preserve"> </w:t>
      </w:r>
      <w:r>
        <w:rPr>
          <w:bCs/>
          <w:b/>
        </w:rPr>
        <w:t xml:space="preserve">Myanmar Yangon</w:t>
      </w:r>
      <w:r>
        <w:t xml:space="preserve">.</w:t>
      </w:r>
    </w:p>
    <w:bookmarkEnd w:id="21"/>
    <w:bookmarkStart w:id="24" w:name="the-changing-landscape-for-the-auditor"/>
    <w:p>
      <w:pPr>
        <w:pStyle w:val="Heading2"/>
      </w:pPr>
      <w:r>
        <w:t xml:space="preserve">3. The Changing Landscape for the Auditor</w:t>
      </w:r>
    </w:p>
    <w:p>
      <w:pPr>
        <w:pStyle w:val="FirstParagraph"/>
      </w:pPr>
      <w:r>
        <w:t xml:space="preserve">The traditional role of an</w:t>
      </w:r>
      <w:r>
        <w:t xml:space="preserve"> </w:t>
      </w:r>
      <w:r>
        <w:rPr>
          <w:bCs/>
          <w:b/>
        </w:rPr>
        <w:t xml:space="preserve">Auditor</w:t>
      </w:r>
      <w:r>
        <w:t xml:space="preserve"> </w:t>
      </w:r>
      <w:r>
        <w:t xml:space="preserve">was primarily retrospective—examining past financial records to ensure accuracy and compliance with Generally Accepted Accounting Principles (GAAP). In the current environment of</w:t>
      </w:r>
      <w:r>
        <w:t xml:space="preserve"> </w:t>
      </w:r>
      <w:r>
        <w:rPr>
          <w:bCs/>
          <w:b/>
        </w:rPr>
        <w:t xml:space="preserve">Myanmar Yangon</w:t>
      </w:r>
      <w:r>
        <w:t xml:space="preserve">, this definition has expanded significantly. The modern Auditor is now required to be a proactive risk manager, a compliance expert, and sometimes even a strategic advisor for survival.</w:t>
      </w:r>
    </w:p>
    <w:bookmarkStart w:id="22" w:name="X30dd02925db282edda0c35b6c851a012077bb11"/>
    <w:p>
      <w:pPr>
        <w:pStyle w:val="Heading3"/>
      </w:pPr>
      <w:r>
        <w:t xml:space="preserve">3.1 Regulatory Compliance and International Sanctions</w:t>
      </w:r>
    </w:p>
    <w:p>
      <w:pPr>
        <w:pStyle w:val="FirstParagraph"/>
      </w:pPr>
      <w:r>
        <w:t xml:space="preserve">One of the most pressing challenges for any</w:t>
      </w:r>
      <w:r>
        <w:t xml:space="preserve"> </w:t>
      </w:r>
      <w:r>
        <w:rPr>
          <w:bCs/>
          <w:b/>
        </w:rPr>
        <w:t xml:space="preserve">Auditor</w:t>
      </w:r>
      <w:r>
        <w:t xml:space="preserve"> </w:t>
      </w:r>
      <w:r>
        <w:t xml:space="preserve">in Yangon is navigating the minefield of international sanctions. Many financial institutions and businesses in Yangon face strict scrutiny regarding anti-money laundering (AML) and counter-terrorist financing (CFT) regulations. Auditors must now conduct enhanced due diligence on clients to ensure that no transactions violate global banking protocols. This requires a deep understanding of not just local laws, but international regulatory standards.</w:t>
      </w:r>
    </w:p>
    <w:bookmarkEnd w:id="22"/>
    <w:bookmarkStart w:id="23" w:name="operational-risks-in-a-volatile-economy"/>
    <w:p>
      <w:pPr>
        <w:pStyle w:val="Heading3"/>
      </w:pPr>
      <w:r>
        <w:t xml:space="preserve">3.2 Operational Risks in a Volatile Economy</w:t>
      </w:r>
    </w:p>
    <w:p>
      <w:pPr>
        <w:pStyle w:val="FirstParagraph"/>
      </w:pPr>
      <w:r>
        <w:t xml:space="preserve">Inflation rates and currency fluctuation have been significant factors affecting businesses in Myanmar. An effective Auditor must evaluate how these macroeconomic factors impact the financial statements of their clients. For instance, valuing inventory or assessing the recoverability of accounts receivable requires sophisticated judgment when local currency values shift rapidly. This adds a layer of complexity to the audit process that was less prevalent in stable economic times.</w:t>
      </w:r>
    </w:p>
    <w:bookmarkEnd w:id="23"/>
    <w:bookmarkEnd w:id="24"/>
    <w:bookmarkStart w:id="25" w:name="X114467faaa84386e7fb388d004a72b316e4311c"/>
    <w:p>
      <w:pPr>
        <w:pStyle w:val="Heading2"/>
      </w:pPr>
      <w:r>
        <w:t xml:space="preserve">4. Challenges Faced by Auditing Firms in Yangon</w:t>
      </w:r>
    </w:p>
    <w:p>
      <w:pPr>
        <w:pStyle w:val="FirstParagraph"/>
      </w:pPr>
      <w:r>
        <w:rPr>
          <w:bCs/>
          <w:b/>
        </w:rPr>
        <w:t xml:space="preserve">The Brain Drain Crisis:</w:t>
      </w:r>
      <w:r>
        <w:br/>
      </w:r>
      <w:r>
        <w:t xml:space="preserve">One of the most severe challenges currently facing the audit profession in Myanmar is the significant outflow of skilled professionals. Many experienced auditors have left Yangon for neighboring countries or Western nations due to political instability and limited career growth. This brain drain creates a knowledge gap within firms, forcing remaining staff to take on roles beyond their experience level without adequate mentorship.</w:t>
      </w:r>
    </w:p>
    <w:p>
      <w:pPr>
        <w:pStyle w:val="BodyText"/>
      </w:pPr>
      <w:r>
        <w:t xml:space="preserve">Additionally, technological adoption in the audit sector in</w:t>
      </w:r>
      <w:r>
        <w:t xml:space="preserve"> </w:t>
      </w:r>
      <w:r>
        <w:rPr>
          <w:bCs/>
          <w:b/>
        </w:rPr>
        <w:t xml:space="preserve">Myanmar Yangon</w:t>
      </w:r>
      <w:r>
        <w:t xml:space="preserve"> </w:t>
      </w:r>
      <w:r>
        <w:t xml:space="preserve">has been slower compared to global standards. While international Big Four firms maintain robust digital auditing tools, many local firms still rely heavily on manual processes due to cost constraints or lack of infrastructure. This discrepancy creates a disparity in audit quality and efficiency, posing risks for stakeholders who require high-frequency financial reporting.</w:t>
      </w:r>
    </w:p>
    <w:bookmarkEnd w:id="25"/>
    <w:bookmarkStart w:id="26" w:name="case-scenario-the-tech-startup-audit"/>
    <w:p>
      <w:pPr>
        <w:pStyle w:val="Heading2"/>
      </w:pPr>
      <w:r>
        <w:t xml:space="preserve">5. Case Scenario: The Tech Startup Audit</w:t>
      </w:r>
    </w:p>
    <w:p>
      <w:pPr>
        <w:pStyle w:val="FirstParagraph"/>
      </w:pPr>
      <w:r>
        <w:t xml:space="preserve">To illustrate these challenges, consider the case of "InnoTech Myanmar," a mid-sized technology firm based in downtown Yangon. The company sought foreign investment but required a clean audit report to satisfy due diligence requirements from international venture capitalists.</w:t>
      </w:r>
    </w:p>
    <w:p>
      <w:pPr>
        <w:pStyle w:val="BodyText"/>
      </w:pPr>
      <w:r>
        <w:t xml:space="preserve">The appointed</w:t>
      </w:r>
      <w:r>
        <w:t xml:space="preserve"> </w:t>
      </w:r>
      <w:r>
        <w:rPr>
          <w:bCs/>
          <w:b/>
        </w:rPr>
        <w:t xml:space="preserve">Auditor</w:t>
      </w:r>
      <w:r>
        <w:t xml:space="preserve"> </w:t>
      </w:r>
      <w:r>
        <w:t xml:space="preserve">faced several hurdles:</w:t>
      </w:r>
    </w:p>
    <w:p>
      <w:pPr>
        <w:numPr>
          <w:ilvl w:val="0"/>
          <w:numId w:val="1001"/>
        </w:numPr>
        <w:pStyle w:val="Compact"/>
      </w:pPr>
      <w:r>
        <w:rPr>
          <w:bCs/>
          <w:b/>
        </w:rPr>
        <w:t xml:space="preserve">Currency Conversion:</w:t>
      </w:r>
      <w:r>
        <w:t xml:space="preserve"> </w:t>
      </w:r>
      <w:r>
        <w:t xml:space="preserve">Determining the correct exchange rate for foreign currency transactions during a period of high volatility.</w:t>
      </w:r>
    </w:p>
    <w:p>
      <w:pPr>
        <w:numPr>
          <w:ilvl w:val="0"/>
          <w:numId w:val="1001"/>
        </w:numPr>
        <w:pStyle w:val="Compact"/>
      </w:pPr>
      <w:r>
        <w:rPr>
          <w:bCs/>
          <w:b/>
        </w:rPr>
        <w:t xml:space="preserve">Supply Chain Integrity:</w:t>
      </w:r>
      <w:r>
        <w:t xml:space="preserve"> </w:t>
      </w:r>
      <w:r>
        <w:t xml:space="preserve">Verifying the legitimacy of suppliers to ensure no sanctions violations occurred in the procurement process.</w:t>
      </w:r>
    </w:p>
    <w:p>
      <w:pPr>
        <w:numPr>
          <w:ilvl w:val="0"/>
          <w:numId w:val="1001"/>
        </w:numPr>
        <w:pStyle w:val="Compact"/>
      </w:pPr>
      <w:r>
        <w:rPr>
          <w:bCs/>
          <w:b/>
        </w:rPr>
        <w:t xml:space="preserve">Data Reliability:</w:t>
      </w:r>
      <w:r>
        <w:t xml:space="preserve"> </w:t>
      </w:r>
      <w:r>
        <w:t xml:space="preserve">Ensuring that electronic records were secure and untampered, given concerns about cybersecurity in the region.</w:t>
      </w:r>
    </w:p>
    <w:p>
      <w:pPr>
        <w:pStyle w:val="FirstParagraph"/>
      </w:pPr>
      <w:r>
        <w:t xml:space="preserve">The audit team implemented a hybrid approach, combining manual verification with new digital forensic tools. They conducted extensive interviews with management and third-party suppliers. The resulting audit report not only certified financial accuracy but also included a robust risk assessment section that reassured investors of the company's compliance posture. This success story highlights how a skilled Auditor can add value beyond simple number-crunching.</w:t>
      </w:r>
    </w:p>
    <w:bookmarkEnd w:id="26"/>
    <w:bookmarkStart w:id="27" w:name="Xa7bcfa4ce0bcdbdf00e72b4228247432f8d109d"/>
    <w:p>
      <w:pPr>
        <w:pStyle w:val="Heading2"/>
      </w:pPr>
      <w:r>
        <w:t xml:space="preserve">6. Strategic Recommendations for Auditors in Myanmar Yangon</w:t>
      </w:r>
    </w:p>
    <w:p>
      <w:pPr>
        <w:pStyle w:val="FirstParagraph"/>
      </w:pPr>
      <w:r>
        <w:t xml:space="preserve">Based on the findings of this case study, several strategic directions are recommended for professionals and firms operating in this space:</w:t>
      </w:r>
    </w:p>
    <w:p>
      <w:pPr>
        <w:numPr>
          <w:ilvl w:val="0"/>
          <w:numId w:val="1002"/>
        </w:numPr>
        <w:pStyle w:val="Compact"/>
      </w:pPr>
      <w:r>
        <w:rPr>
          <w:bCs/>
          <w:b/>
        </w:rPr>
        <w:t xml:space="preserve">Skill Development:</w:t>
      </w:r>
      <w:r>
        <w:br/>
      </w:r>
      <w:r>
        <w:t xml:space="preserve">Firms must invest heavily in continuous professional development. With the departure of senior staff, junior auditors need accelerated training programs focusing on international standards (ISA) and AML compliance.</w:t>
      </w:r>
    </w:p>
    <w:p>
      <w:pPr>
        <w:numPr>
          <w:ilvl w:val="0"/>
          <w:numId w:val="1002"/>
        </w:numPr>
        <w:pStyle w:val="Compact"/>
      </w:pPr>
      <w:r>
        <w:rPr>
          <w:bCs/>
          <w:b/>
        </w:rPr>
        <w:t xml:space="preserve">Digital Transformation:</w:t>
      </w:r>
      <w:r>
        <w:br/>
      </w:r>
      <w:r>
        <w:t xml:space="preserve">Adoption of audit management software and data analytics tools is no longer optional but essential. This improves efficiency and reduces the risk of human error in a high-pressure environment.</w:t>
      </w:r>
    </w:p>
    <w:p>
      <w:pPr>
        <w:numPr>
          <w:ilvl w:val="0"/>
          <w:numId w:val="1002"/>
        </w:numPr>
        <w:pStyle w:val="Compact"/>
      </w:pPr>
      <w:r>
        <w:rPr>
          <w:bCs/>
          <w:b/>
        </w:rPr>
        <w:t xml:space="preserve">Enhanced Ethical Frameworks:</w:t>
      </w:r>
      <w:r>
        <w:br/>
      </w:r>
      <w:r>
        <w:t xml:space="preserve">In an environment where regulatory enforcement may vary, the internal ethical code of an Auditor firm becomes its strongest asset. Establishing independent ethics committees within firms can protect against pressure from clients and ensure report integrity.</w:t>
      </w:r>
    </w:p>
    <w:p>
      <w:pPr>
        <w:numPr>
          <w:ilvl w:val="0"/>
          <w:numId w:val="1002"/>
        </w:numPr>
        <w:pStyle w:val="Compact"/>
      </w:pPr>
      <w:r>
        <w:rPr>
          <w:bCs/>
          <w:b/>
        </w:rPr>
        <w:t xml:space="preserve">Regional Collaboration:</w:t>
      </w:r>
      <w:r>
        <w:br/>
      </w:r>
      <w:r>
        <w:t xml:space="preserve">Auditors in</w:t>
      </w:r>
      <w:r>
        <w:t xml:space="preserve"> </w:t>
      </w:r>
      <w:r>
        <w:rPr>
          <w:bCs/>
          <w:b/>
        </w:rPr>
        <w:t xml:space="preserve">Myanmar Yangon</w:t>
      </w:r>
      <w:r>
        <w:t xml:space="preserve"> </w:t>
      </w:r>
      <w:r>
        <w:t xml:space="preserve">should strengthen ties with regulatory bodies in neighboring ASEAN countries to share best practices regarding cross-border auditing and compliance.</w:t>
      </w:r>
    </w:p>
    <w:bookmarkEnd w:id="27"/>
    <w:bookmarkStart w:id="28" w:name="conclusion"/>
    <w:p>
      <w:pPr>
        <w:pStyle w:val="Heading2"/>
      </w:pPr>
      <w:r>
        <w:t xml:space="preserve">7. Conclusion</w:t>
      </w:r>
    </w:p>
    <w:p>
      <w:pPr>
        <w:pStyle w:val="FirstParagraph"/>
      </w:pPr>
      <w:r>
        <w:t xml:space="preserve">The role of the Auditor in Myanmar, specifically within the bustling commercial center of Yangon, is undergoing a profound transformation. It has evolved from a purely technical verification process to a complex discipline involving international compliance, risk management, and strategic advisory services. While challenges such as brain drain and regulatory uncertainty persist, the demand for reliable financial information remains high.</w:t>
      </w:r>
    </w:p>
    <w:p>
      <w:pPr>
        <w:pStyle w:val="BodyText"/>
      </w:pPr>
      <w:r>
        <w:t xml:space="preserve">For investors, regulators, and businesses in</w:t>
      </w:r>
      <w:r>
        <w:t xml:space="preserve"> </w:t>
      </w:r>
      <w:r>
        <w:rPr>
          <w:bCs/>
          <w:b/>
        </w:rPr>
        <w:t xml:space="preserve">Myanmar Yangon</w:t>
      </w:r>
      <w:r>
        <w:t xml:space="preserve">, the Auditor serves as a critical pillar of trust. By adapting to new realities through technology adoption and rigorous ethical standards, auditors can ensure that they continue to provide the transparency necessary for economic resilience. This case study underscores that despite the turbulent times, professional auditing remains an indispensable tool for navigating complexity in</w:t>
      </w:r>
      <w:r>
        <w:t xml:space="preserve"> </w:t>
      </w:r>
      <w:r>
        <w:rPr>
          <w:bCs/>
          <w:b/>
        </w:rPr>
        <w:t xml:space="preserve">Myanmar Yangon</w:t>
      </w:r>
      <w:r>
        <w:t xml:space="preserve">.</w:t>
      </w:r>
    </w:p>
    <w:p>
      <w:pPr>
        <w:pStyle w:val="BodyText"/>
      </w:pPr>
      <w:r>
        <w:rPr>
          <w:iCs/>
          <w:i/>
        </w:rPr>
        <w:t xml:space="preserve">This document serves as a reference for stakeholders interested in understanding the operational dynamics of financial oversight in one of Southeast Asia's most evolving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Auditor in Myanmar, Yangon</dc:title>
  <dc:creator/>
  <cp:keywords/>
  <dcterms:created xsi:type="dcterms:W3CDTF">2026-07-29T06:32:13Z</dcterms:created>
  <dcterms:modified xsi:type="dcterms:W3CDTF">2026-07-29T06:32:13Z</dcterms:modified>
</cp:coreProperties>
</file>

<file path=docProps/custom.xml><?xml version="1.0" encoding="utf-8"?>
<Properties xmlns="http://schemas.openxmlformats.org/officeDocument/2006/custom-properties" xmlns:vt="http://schemas.openxmlformats.org/officeDocument/2006/docPropsVTypes"/>
</file>