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bookmarkStart w:id="26" w:name="Xe9173c663dc2f4e5d1287ba5f600fcb5522236a"/>
    <w:p>
      <w:pPr>
        <w:pStyle w:val="Heading1"/>
      </w:pPr>
      <w:r>
        <w:t xml:space="preserve">The Strategic Role of the Auditor in Netherlands, Amsterdam</w:t>
      </w:r>
    </w:p>
    <w:p>
      <w:pPr>
        <w:pStyle w:val="FirstParagraph"/>
      </w:pPr>
      <w:r>
        <w:t xml:space="preserve">In the dynamic and highly regulated financial landscape of Europe,</w:t>
      </w:r>
      <w:r>
        <w:t xml:space="preserve"> </w:t>
      </w:r>
      <w:r>
        <w:rPr>
          <w:bCs/>
          <w:b/>
        </w:rPr>
        <w:t xml:space="preserve">Netherlands Amsterdam</w:t>
      </w:r>
      <w:r>
        <w:t xml:space="preserve"> </w:t>
      </w:r>
      <w:r>
        <w:t xml:space="preserve">stands as a premier hub for international commerce, technology innovation, and corporate headquarters. Within this bustling economic ecosystem, the role of the</w:t>
      </w:r>
      <w:r>
        <w:t xml:space="preserve"> </w:t>
      </w:r>
      <w:r>
        <w:rPr>
          <w:bCs/>
          <w:b/>
        </w:rPr>
        <w:t xml:space="preserve">Auditor</w:t>
      </w:r>
      <w:r>
        <w:t xml:space="preserve"> </w:t>
      </w:r>
      <w:r>
        <w:t xml:space="preserve">transcends traditional compliance checks to become a vital strategic partner for businesses aiming to maintain integrity and sustainability. This case study explores how auditing practices have evolved in</w:t>
      </w:r>
      <w:r>
        <w:t xml:space="preserve"> </w:t>
      </w:r>
      <w:r>
        <w:rPr>
          <w:bCs/>
          <w:b/>
        </w:rPr>
        <w:t xml:space="preserve">Netherlands Amsterdam</w:t>
      </w:r>
      <w:r>
        <w:t xml:space="preserve">, focusing on a hypothetical yet representative scenario involving a mid-sized multinational corporation operating within this jurisdiction.</w:t>
      </w:r>
    </w:p>
    <w:bookmarkStart w:id="20" w:name="X7ed2baf33a17e6ab1777f7f16c1d5685ec12464"/>
    <w:p>
      <w:pPr>
        <w:pStyle w:val="Heading2"/>
      </w:pPr>
      <w:r>
        <w:t xml:space="preserve">The Business Context: A Tech Startup in the Heart of the Netherlands</w:t>
      </w:r>
    </w:p>
    <w:p>
      <w:pPr>
        <w:pStyle w:val="FirstParagraph"/>
      </w:pPr>
      <w:r>
        <w:t xml:space="preserve">The subject of our case study is "GreenFlow Solutions," a fictional but realistic technology company based in</w:t>
      </w:r>
      <w:r>
        <w:t xml:space="preserve"> </w:t>
      </w:r>
      <w:r>
        <w:rPr>
          <w:bCs/>
          <w:b/>
        </w:rPr>
        <w:t xml:space="preserve">Netherlands Amsterdam</w:t>
      </w:r>
      <w:r>
        <w:t xml:space="preserve">. GreenFlow specializes in sustainable energy management software. Having recently secured Series B funding from international investors, the company has grown rapidly, expanding its workforce by 40% and increasing its revenue streams across three different EU member states. As part of this expansion, GreenFlow faces increasing scrutiny regarding its financial reporting standards, data privacy regulations (GDPR), and corporate governance frameworks.</w:t>
      </w:r>
    </w:p>
    <w:p>
      <w:pPr>
        <w:pStyle w:val="BodyText"/>
      </w:pPr>
      <w:r>
        <w:t xml:space="preserve">In</w:t>
      </w:r>
      <w:r>
        <w:t xml:space="preserve"> </w:t>
      </w:r>
      <w:r>
        <w:rPr>
          <w:bCs/>
          <w:b/>
        </w:rPr>
        <w:t xml:space="preserve">Netherlands Amsterdam</w:t>
      </w:r>
      <w:r>
        <w:t xml:space="preserve">, the regulatory environment is stringent yet transparent. The Dutch Authority for the Financial Markets (AFM) and the Dutch Central Bank (DNB) enforce rigorous oversight. For GreenFlow, engaging a qualified</w:t>
      </w:r>
      <w:r>
        <w:t xml:space="preserve"> </w:t>
      </w:r>
      <w:r>
        <w:rPr>
          <w:bCs/>
          <w:b/>
        </w:rPr>
        <w:t xml:space="preserve">Auditor</w:t>
      </w:r>
      <w:r>
        <w:t xml:space="preserve"> </w:t>
      </w:r>
      <w:r>
        <w:t xml:space="preserve">was not merely a legal obligation under the Dutch Civil Code but a strategic necessity to reassure stakeholders, including venture capitalists and potential partners, about the company's operational health and ethical standing.</w:t>
      </w:r>
    </w:p>
    <w:bookmarkEnd w:id="20"/>
    <w:bookmarkStart w:id="21" w:name="X718c0d291aaf33f60d92da8e884323d8973d15f"/>
    <w:p>
      <w:pPr>
        <w:pStyle w:val="Heading2"/>
      </w:pPr>
      <w:r>
        <w:t xml:space="preserve">The Challenge: Navigating Complex Regulatory Frameworks</w:t>
      </w:r>
    </w:p>
    <w:p>
      <w:pPr>
        <w:pStyle w:val="FirstParagraph"/>
      </w:pPr>
      <w:r>
        <w:t xml:space="preserve">The primary challenge faced by GreenFlow was integrating its rapid growth with robust internal controls without stifling innovation. The company struggled with fragmented accounting systems across its European offices, leading to discrepancies in financial reporting. Furthermore, the recent implementation of the Corporate Sustainability Reporting Directive (CSRD) meant that</w:t>
      </w:r>
      <w:r>
        <w:t xml:space="preserve"> </w:t>
      </w:r>
      <w:r>
        <w:rPr>
          <w:bCs/>
          <w:b/>
        </w:rPr>
        <w:t xml:space="preserve">Auditor</w:t>
      </w:r>
      <w:r>
        <w:t xml:space="preserve"> </w:t>
      </w:r>
      <w:r>
        <w:t xml:space="preserve">services now needed to encompass non-financial data, such as carbon footprint metrics and social governance factors.</w:t>
      </w:r>
    </w:p>
    <w:p>
      <w:pPr>
        <w:pStyle w:val="BodyText"/>
      </w:pPr>
      <w:r>
        <w:t xml:space="preserve">In</w:t>
      </w:r>
      <w:r>
        <w:t xml:space="preserve"> </w:t>
      </w:r>
      <w:r>
        <w:rPr>
          <w:bCs/>
          <w:b/>
        </w:rPr>
        <w:t xml:space="preserve">Netherlands Amsterdam</w:t>
      </w:r>
      <w:r>
        <w:t xml:space="preserve">, auditors are increasingly expected to provide holistic insights rather than just retrospective verification. The stakeholders demanded a level of transparency that went beyond the balance sheet. They sought assurance regarding the accuracy of sustainability claims, which are critical in the green tech sector. Consequently, GreenFlow needed an</w:t>
      </w:r>
      <w:r>
        <w:t xml:space="preserve"> </w:t>
      </w:r>
      <w:r>
        <w:rPr>
          <w:bCs/>
          <w:b/>
        </w:rPr>
        <w:t xml:space="preserve">Auditor</w:t>
      </w:r>
      <w:r>
        <w:t xml:space="preserve"> </w:t>
      </w:r>
      <w:r>
        <w:t xml:space="preserve">who could navigate both traditional statutory audit requirements and emerging ESG (Environmental, Social, and Governance) assurance standards.</w:t>
      </w:r>
    </w:p>
    <w:bookmarkEnd w:id="21"/>
    <w:bookmarkStart w:id="22" w:name="X6b79c1627173102e7a92f0975b4d5166924b2b0"/>
    <w:p>
      <w:pPr>
        <w:pStyle w:val="Heading2"/>
      </w:pPr>
      <w:r>
        <w:t xml:space="preserve">The Intervention: A Holistic Auditing Approach</w:t>
      </w:r>
    </w:p>
    <w:p>
      <w:pPr>
        <w:pStyle w:val="FirstParagraph"/>
      </w:pPr>
      <w:r>
        <w:t xml:space="preserve">To address these challenges, GreenFlow engaged a boutique audit firm renowned for its expertise in the</w:t>
      </w:r>
      <w:r>
        <w:t xml:space="preserve"> </w:t>
      </w:r>
      <w:r>
        <w:rPr>
          <w:bCs/>
          <w:b/>
        </w:rPr>
        <w:t xml:space="preserve">Netherlands Amsterdam</w:t>
      </w:r>
      <w:r>
        <w:t xml:space="preserve"> </w:t>
      </w:r>
      <w:r>
        <w:t xml:space="preserve">market. The engagement began with a comprehensive risk assessment phase. The</w:t>
      </w:r>
      <w:r>
        <w:t xml:space="preserve"> </w:t>
      </w:r>
      <w:r>
        <w:rPr>
          <w:bCs/>
          <w:b/>
        </w:rPr>
        <w:t xml:space="preserve">Auditor</w:t>
      </w:r>
      <w:r>
        <w:t xml:space="preserve"> </w:t>
      </w:r>
      <w:r>
        <w:t xml:space="preserve">conducted on-site interviews with department heads to understand workflow inefficiencies and data silos. Unlike traditional approaches that focus solely on financial errors, this audit process included a deep dive into the IT infrastructure supporting financial records.</w:t>
      </w:r>
    </w:p>
    <w:p>
      <w:pPr>
        <w:pStyle w:val="BodyText"/>
      </w:pPr>
      <w:r>
        <w:t xml:space="preserve">The</w:t>
      </w:r>
      <w:r>
        <w:t xml:space="preserve"> </w:t>
      </w:r>
      <w:r>
        <w:rPr>
          <w:bCs/>
          <w:b/>
        </w:rPr>
        <w:t xml:space="preserve">Auditor</w:t>
      </w:r>
      <w:r>
        <w:t xml:space="preserve"> </w:t>
      </w:r>
      <w:r>
        <w:t xml:space="preserve">implemented an integrated audit framework. This approach allowed for simultaneous testing of internal controls over financial reporting and sustainability data. For instance, when verifying energy savings reported by GreenFlow’s software clients, the</w:t>
      </w:r>
      <w:r>
        <w:t xml:space="preserve"> </w:t>
      </w:r>
      <w:r>
        <w:rPr>
          <w:bCs/>
          <w:b/>
        </w:rPr>
        <w:t xml:space="preserve">Auditor</w:t>
      </w:r>
      <w:r>
        <w:t xml:space="preserve"> </w:t>
      </w:r>
      <w:r>
        <w:t xml:space="preserve">cross-referenced technical performance logs with financial invoices to ensure consistency. This method significantly reduced the risk of greenwashing accusations, a significant reputational risk in</w:t>
      </w:r>
      <w:r>
        <w:t xml:space="preserve"> </w:t>
      </w:r>
      <w:r>
        <w:rPr>
          <w:bCs/>
          <w:b/>
        </w:rPr>
        <w:t xml:space="preserve">Netherlands Amsterdam</w:t>
      </w:r>
      <w:r>
        <w:t xml:space="preserve">.</w:t>
      </w:r>
    </w:p>
    <w:bookmarkEnd w:id="22"/>
    <w:bookmarkStart w:id="23" w:name="Xd5fcb4020c31e32e43fe07ea4afffed95e4a2e9"/>
    <w:p>
      <w:pPr>
        <w:pStyle w:val="Heading2"/>
      </w:pPr>
      <w:r>
        <w:t xml:space="preserve">The Outcome: Enhanced Trust and Operational Efficiency</w:t>
      </w:r>
    </w:p>
    <w:p>
      <w:pPr>
        <w:pStyle w:val="FirstParagraph"/>
      </w:pPr>
      <w:r>
        <w:t xml:space="preserve">The results of the audit were transformative for GreenFlow. First, the</w:t>
      </w:r>
      <w:r>
        <w:t xml:space="preserve"> </w:t>
      </w:r>
      <w:r>
        <w:rPr>
          <w:bCs/>
          <w:b/>
        </w:rPr>
        <w:t xml:space="preserve">Auditor</w:t>
      </w:r>
      <w:r>
        <w:t xml:space="preserve"> </w:t>
      </w:r>
      <w:r>
        <w:t xml:space="preserve">identified critical gaps in their revenue recognition policies across international borders. By standardizing these processes according to Dutch GAAP and IFRS standards, GreenFlow reduced reporting discrepancies by 95%. This clarity provided investors with a clear view of the company’s true profitability.</w:t>
      </w:r>
    </w:p>
    <w:p>
      <w:pPr>
        <w:pStyle w:val="BodyText"/>
      </w:pPr>
      <w:r>
        <w:t xml:space="preserve">Secondly, the sustainability assurance component received high praise from ESG-focused investors. The</w:t>
      </w:r>
      <w:r>
        <w:t xml:space="preserve"> </w:t>
      </w:r>
      <w:r>
        <w:rPr>
          <w:bCs/>
          <w:b/>
        </w:rPr>
        <w:t xml:space="preserve">Auditor</w:t>
      </w:r>
      <w:r>
        <w:t xml:space="preserve">’s independent verification of carbon reduction metrics bolstered GreenFlow’s market credibility. In</w:t>
      </w:r>
      <w:r>
        <w:t xml:space="preserve"> </w:t>
      </w:r>
      <w:r>
        <w:rPr>
          <w:bCs/>
          <w:b/>
        </w:rPr>
        <w:t xml:space="preserve">Netherlands Amsterdam</w:t>
      </w:r>
      <w:r>
        <w:t xml:space="preserve">, where environmental consciousness is deeply embedded in corporate culture, this independent validation became a key competitive advantage. It allowed GreenFlow to secure additional funding specifically tied to sustainability milestones.</w:t>
      </w:r>
    </w:p>
    <w:p>
      <w:pPr>
        <w:pStyle w:val="BodyText"/>
      </w:pPr>
      <w:r>
        <w:t xml:space="preserve">Furthermore, the audit process revealed opportunities for operational efficiency. The</w:t>
      </w:r>
      <w:r>
        <w:t xml:space="preserve"> </w:t>
      </w:r>
      <w:r>
        <w:rPr>
          <w:bCs/>
          <w:b/>
        </w:rPr>
        <w:t xml:space="preserve">Auditor</w:t>
      </w:r>
      <w:r>
        <w:t xml:space="preserve"> </w:t>
      </w:r>
      <w:r>
        <w:t xml:space="preserve">recommended automating certain reconciliation tasks using cloud-based solutions. This recommendation led to a 20% reduction in manual accounting hours, allowing the finance team to focus on strategic analysis rather than data entry.</w:t>
      </w:r>
    </w:p>
    <w:bookmarkEnd w:id="23"/>
    <w:bookmarkStart w:id="24" w:name="X0ac3df7d2958cd357123c9765c4fb898fb04bc1"/>
    <w:p>
      <w:pPr>
        <w:pStyle w:val="Heading2"/>
      </w:pPr>
      <w:r>
        <w:t xml:space="preserve">The Role of the Auditor as a Strategic Partner</w:t>
      </w:r>
    </w:p>
    <w:p>
      <w:pPr>
        <w:pStyle w:val="FirstParagraph"/>
      </w:pPr>
      <w:r>
        <w:t xml:space="preserve">This case study illustrates that in</w:t>
      </w:r>
      <w:r>
        <w:t xml:space="preserve"> </w:t>
      </w:r>
      <w:r>
        <w:rPr>
          <w:bCs/>
          <w:b/>
        </w:rPr>
        <w:t xml:space="preserve">Netherlands Amsterdam</w:t>
      </w:r>
      <w:r>
        <w:t xml:space="preserve">, the</w:t>
      </w:r>
      <w:r>
        <w:t xml:space="preserve"> </w:t>
      </w:r>
      <w:r>
        <w:rPr>
          <w:bCs/>
          <w:b/>
        </w:rPr>
        <w:t xml:space="preserve">Auditor</w:t>
      </w:r>
      <w:r>
        <w:t xml:space="preserve"> </w:t>
      </w:r>
      <w:r>
        <w:t xml:space="preserve">is no longer just a gatekeeper of compliance but a catalyst for business improvement. The unique position of the Netherlands within the European Union, combined with Amsterdam’s status as a global financial node, requires auditors to be versatile professionals who understand local laws, international standards, and industry-specific nuances.</w:t>
      </w:r>
    </w:p>
    <w:p>
      <w:pPr>
        <w:pStyle w:val="BodyText"/>
      </w:pPr>
      <w:r>
        <w:t xml:space="preserve">The success of GreenFlow underscores several key lessons for other businesses operating in</w:t>
      </w:r>
      <w:r>
        <w:t xml:space="preserve"> </w:t>
      </w:r>
      <w:r>
        <w:rPr>
          <w:bCs/>
          <w:b/>
        </w:rPr>
        <w:t xml:space="preserve">Netherlands Amsterdam</w:t>
      </w:r>
      <w:r>
        <w:t xml:space="preserve">:</w:t>
      </w:r>
    </w:p>
    <w:p>
      <w:pPr>
        <w:numPr>
          <w:ilvl w:val="0"/>
          <w:numId w:val="1001"/>
        </w:numPr>
        <w:pStyle w:val="Compact"/>
      </w:pPr>
      <w:r>
        <w:rPr>
          <w:bCs/>
          <w:b/>
        </w:rPr>
        <w:t xml:space="preserve">Integration is Key:</w:t>
      </w:r>
      <w:r>
        <w:t xml:space="preserve"> </w:t>
      </w:r>
      <w:r>
        <w:t xml:space="preserve">Modern auditing must integrate financial and non-financial data to provide a complete picture of corporate health.</w:t>
      </w:r>
    </w:p>
    <w:p>
      <w:pPr>
        <w:numPr>
          <w:ilvl w:val="0"/>
          <w:numId w:val="1001"/>
        </w:numPr>
        <w:pStyle w:val="Compact"/>
      </w:pPr>
      <w:r>
        <w:rPr>
          <w:bCs/>
          <w:b/>
        </w:rPr>
        <w:t xml:space="preserve">Tech-Savviness:</w:t>
      </w:r>
      <w:r>
        <w:t xml:space="preserve"> </w:t>
      </w:r>
      <w:r>
        <w:t xml:space="preserve">Auditors in the region must be proficient in IT audit methodologies to assess digital assets and data integrity effectively.</w:t>
      </w:r>
    </w:p>
    <w:p>
      <w:pPr>
        <w:numPr>
          <w:ilvl w:val="0"/>
          <w:numId w:val="1001"/>
        </w:numPr>
        <w:pStyle w:val="Compact"/>
      </w:pPr>
      <w:r>
        <w:rPr>
          <w:bCs/>
          <w:b/>
        </w:rPr>
        <w:t xml:space="preserve">Proactive Advisory:</w:t>
      </w:r>
      <w:r>
        <w:t xml:space="preserve"> </w:t>
      </w:r>
      <w:r>
        <w:t xml:space="preserve">Leading firms offer advisory services that help companies anticipate regulatory changes, such as the ongoing evolution of tax laws and sustainability disclosures in Europe.</w:t>
      </w:r>
    </w:p>
    <w:bookmarkEnd w:id="24"/>
    <w:bookmarkStart w:id="25" w:name="conclusion"/>
    <w:p>
      <w:pPr>
        <w:pStyle w:val="Heading2"/>
      </w:pPr>
      <w:r>
        <w:t xml:space="preserve">Conclusion</w:t>
      </w:r>
    </w:p>
    <w:p>
      <w:pPr>
        <w:pStyle w:val="FirstParagraph"/>
      </w:pPr>
      <w:r>
        <w:t xml:space="preserve">The case of GreenFlow Solutions highlights the critical importance of a competent</w:t>
      </w:r>
      <w:r>
        <w:t xml:space="preserve"> </w:t>
      </w:r>
      <w:r>
        <w:rPr>
          <w:bCs/>
          <w:b/>
        </w:rPr>
        <w:t xml:space="preserve">Auditor</w:t>
      </w:r>
      <w:r>
        <w:t xml:space="preserve"> </w:t>
      </w:r>
      <w:r>
        <w:t xml:space="preserve">in maintaining corporate integrity and fostering growth in</w:t>
      </w:r>
      <w:r>
        <w:t xml:space="preserve"> </w:t>
      </w:r>
      <w:r>
        <w:rPr>
          <w:bCs/>
          <w:b/>
        </w:rPr>
        <w:t xml:space="preserve">Netherlands Amsterdam</w:t>
      </w:r>
      <w:r>
        <w:t xml:space="preserve">. As regulatory pressures mount and stakeholder expectations rise, the demand for high-quality audit services will continue to grow. For businesses located in this vibrant city, partnering with an experienced</w:t>
      </w:r>
      <w:r>
        <w:t xml:space="preserve"> </w:t>
      </w:r>
      <w:r>
        <w:rPr>
          <w:bCs/>
          <w:b/>
        </w:rPr>
        <w:t xml:space="preserve">Auditor</w:t>
      </w:r>
      <w:r>
        <w:t xml:space="preserve"> </w:t>
      </w:r>
      <w:r>
        <w:t xml:space="preserve">is essential not only for regulatory compliance but also for building trust, ensuring transparency, and achieving sustainable long-term success.</w:t>
      </w:r>
    </w:p>
    <w:p>
      <w:pPr>
        <w:pStyle w:val="BodyText"/>
      </w:pPr>
      <w:r>
        <w:t xml:space="preserve">In conclusion, the evolving role of the</w:t>
      </w:r>
      <w:r>
        <w:t xml:space="preserve"> </w:t>
      </w:r>
      <w:r>
        <w:rPr>
          <w:bCs/>
          <w:b/>
        </w:rPr>
        <w:t xml:space="preserve">Auditor</w:t>
      </w:r>
      <w:r>
        <w:t xml:space="preserve"> </w:t>
      </w:r>
      <w:r>
        <w:t xml:space="preserve">in</w:t>
      </w:r>
      <w:r>
        <w:t xml:space="preserve"> </w:t>
      </w:r>
      <w:r>
        <w:rPr>
          <w:bCs/>
          <w:b/>
        </w:rPr>
        <w:t xml:space="preserve">Netherlands Amsterdam</w:t>
      </w:r>
      <w:r>
        <w:t xml:space="preserve"> </w:t>
      </w:r>
      <w:r>
        <w:t xml:space="preserve">reflects a broader shift towards holistic corporate governance. By leveraging local expertise and global best practices, auditors help companies navigate complexity while upholding the high standards of accountability that define the Dutch business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Netherlands, Amsterdam</dc:title>
  <dc:creator/>
  <cp:keywords/>
  <dcterms:created xsi:type="dcterms:W3CDTF">2026-07-29T16:49:20Z</dcterms:created>
  <dcterms:modified xsi:type="dcterms:W3CDTF">2026-07-29T16:49:20Z</dcterms:modified>
</cp:coreProperties>
</file>

<file path=docProps/custom.xml><?xml version="1.0" encoding="utf-8"?>
<Properties xmlns="http://schemas.openxmlformats.org/officeDocument/2006/custom-properties" xmlns:vt="http://schemas.openxmlformats.org/officeDocument/2006/docPropsVTypes"/>
</file>