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Qatar</w:t>
      </w:r>
      <w:r>
        <w:t xml:space="preserve"> </w:t>
      </w:r>
      <w:r>
        <w:t xml:space="preserve">Doha</w:t>
      </w:r>
    </w:p>
    <w:bookmarkStart w:id="30" w:name="the-role-of-the-auditor-in-qatar-doha"/>
    <w:p>
      <w:pPr>
        <w:pStyle w:val="Heading1"/>
      </w:pPr>
      <w:r>
        <w:t xml:space="preserve">The Role of the Auditor in Qatar Doha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Qatar, Doha Capital Region</w:t>
      </w:r>
      <w:r>
        <w:br/>
      </w:r>
      <w:r>
        <w:rPr>
          <w:iCs/>
          <w:i/>
        </w:rPr>
        <w:t xml:space="preserve">A Case Study on Regulatory Compliance, Corporate Governance, and Economic Vision 2030</w:t>
      </w:r>
    </w:p>
    <w:bookmarkStart w:id="20" w:name="executive-summary"/>
    <w:p>
      <w:pPr>
        <w:pStyle w:val="Heading2"/>
      </w:pPr>
      <w:r>
        <w:t xml:space="preserve">1. Executive Summary</w:t>
      </w:r>
    </w:p>
    <w:p>
      <w:pPr>
        <w:pStyle w:val="FirstParagraph"/>
      </w:pPr>
      <w:r>
        <w:t xml:space="preserve">This case study explores the critical function of the</w:t>
      </w:r>
      <w:r>
        <w:t xml:space="preserve"> </w:t>
      </w:r>
      <w:r>
        <w:rPr>
          <w:bCs/>
          <w:b/>
        </w:rPr>
        <w:t xml:space="preserve">Auditor</w:t>
      </w:r>
      <w:r>
        <w:t xml:space="preserve"> </w:t>
      </w:r>
      <w:r>
        <w:t xml:space="preserve">within the corporate and public sectors of Qatar Doha. As the state undergoes rapid transformation driven by Qatar National Vision 2030 (QNV 2030), the demand for rigorous financial oversight, transparency, and governance has never been higher. The document analyzes how</w:t>
      </w:r>
      <w:r>
        <w:t xml:space="preserve"> </w:t>
      </w:r>
      <w:r>
        <w:rPr>
          <w:bCs/>
          <w:b/>
        </w:rPr>
        <w:t xml:space="preserve">Auditor</w:t>
      </w:r>
      <w:r>
        <w:t xml:space="preserve"> </w:t>
      </w:r>
      <w:r>
        <w:t xml:space="preserve">professionals navigate the unique regulatory landscape of Qatar Doha, ensuring that entities comply with local laws while maintaining international best practices. This study highlights the strategic importance of audit functions in fostering investor confidence and sustaining economic growth in one of the Middle East’s most dynamic financial hubs.</w:t>
      </w:r>
    </w:p>
    <w:bookmarkEnd w:id="20"/>
    <w:bookmarkStart w:id="21" w:name="introduction-the-context-of-qatar-doha"/>
    <w:p>
      <w:pPr>
        <w:pStyle w:val="Heading2"/>
      </w:pPr>
      <w:r>
        <w:t xml:space="preserve">2. Introduction: The Context of Qatar Doha</w:t>
      </w:r>
    </w:p>
    <w:p>
      <w:pPr>
        <w:pStyle w:val="FirstParagraph"/>
      </w:pPr>
      <w:r>
        <w:t xml:space="preserve">Doha, as the capital city and economic heart of Qatar, serves as a gateway for international trade, finance, and tourism. Following the successful hosting of major global events such as the FIFA World Cup 2022 and numerous diplomatic summits, infrastructure development in Qatar Doha has accelerated significantly. This growth brings complexity to corporate structures, joint ventures between local Qatari entities and multinational corporations (MNCs), and state-owned enterprises.</w:t>
      </w:r>
    </w:p>
    <w:p>
      <w:pPr>
        <w:pStyle w:val="BodyText"/>
      </w:pPr>
      <w:r>
        <w:t xml:space="preserve">In this environment, the</w:t>
      </w:r>
      <w:r>
        <w:t xml:space="preserve"> </w:t>
      </w:r>
      <w:r>
        <w:rPr>
          <w:bCs/>
          <w:b/>
        </w:rPr>
        <w:t xml:space="preserve">Auditor</w:t>
      </w:r>
      <w:r>
        <w:t xml:space="preserve"> </w:t>
      </w:r>
      <w:r>
        <w:t xml:space="preserve">plays a pivotal role not just as a checker of books, but as a strategic advisor. The regulatory framework in Qatar Doha is increasingly aligned with global standards to attract foreign direct investment (FDI). However, it remains distinct due to local Sharia-compliance requirements and specific national regulations enforced by the Ministry of Commerce and Industry (MOCI) and the Qatar Financial Center (QFC) Authority. Understanding these nuances is essential for any</w:t>
      </w:r>
      <w:r>
        <w:t xml:space="preserve"> </w:t>
      </w:r>
      <w:r>
        <w:rPr>
          <w:bCs/>
          <w:b/>
        </w:rPr>
        <w:t xml:space="preserve">Auditor</w:t>
      </w:r>
      <w:r>
        <w:t xml:space="preserve"> </w:t>
      </w:r>
      <w:r>
        <w:t xml:space="preserve">operating in this region.</w:t>
      </w:r>
    </w:p>
    <w:bookmarkEnd w:id="21"/>
    <w:bookmarkStart w:id="22" w:name="regulatory-framework-governing-auditors"/>
    <w:p>
      <w:pPr>
        <w:pStyle w:val="Heading2"/>
      </w:pPr>
      <w:r>
        <w:t xml:space="preserve">3. Regulatory Framework Governing Auditors</w:t>
      </w:r>
    </w:p>
    <w:p>
      <w:pPr>
        <w:pStyle w:val="FirstParagraph"/>
      </w:pPr>
      <w:r>
        <w:t xml:space="preserve">The practice of auditing in Qatar Doha is governed by a robust set of laws and regulations that dictate the responsibilities, liabilities, and standards expected of an</w:t>
      </w:r>
      <w:r>
        <w:t xml:space="preserve"> </w:t>
      </w:r>
      <w:r>
        <w:rPr>
          <w:bCs/>
          <w:b/>
        </w:rPr>
        <w:t xml:space="preserve">Auditor</w:t>
      </w:r>
      <w:r>
        <w:t xml:space="preserve">. Key regulatory bodies include:</w:t>
      </w:r>
    </w:p>
    <w:p>
      <w:pPr>
        <w:numPr>
          <w:ilvl w:val="0"/>
          <w:numId w:val="1001"/>
        </w:numPr>
        <w:pStyle w:val="Compact"/>
      </w:pPr>
      <w:r>
        <w:rPr>
          <w:bCs/>
          <w:b/>
        </w:rPr>
        <w:t xml:space="preserve">The Ministry of Commerce and Industry (MOCI):</w:t>
      </w:r>
      <w:r>
        <w:t xml:space="preserve"> </w:t>
      </w:r>
      <w:r>
        <w:t xml:space="preserve">MOCI mandates that all commercial entities registered in Qatar Doha must have their financial statements audited by a qualified auditor accredited by the ministry. This ensures that all companies, regardless of size, adhere to basic transparency standards.</w:t>
      </w:r>
    </w:p>
    <w:p>
      <w:pPr>
        <w:numPr>
          <w:ilvl w:val="0"/>
          <w:numId w:val="1001"/>
        </w:numPr>
        <w:pStyle w:val="Compact"/>
      </w:pPr>
      <w:r>
        <w:rPr>
          <w:bCs/>
          <w:b/>
        </w:rPr>
        <w:t xml:space="preserve">The Qatar Financial Center (QFC) Authority:</w:t>
      </w:r>
      <w:r>
        <w:t xml:space="preserve"> </w:t>
      </w:r>
      <w:r>
        <w:t xml:space="preserve">Operating within the QFC free zone in Qatar Doha, this regulatory body imposes strict compliance requirements on financial services firms. Here, the role of the</w:t>
      </w:r>
      <w:r>
        <w:t xml:space="preserve"> </w:t>
      </w:r>
      <w:r>
        <w:rPr>
          <w:bCs/>
          <w:b/>
        </w:rPr>
        <w:t xml:space="preserve">Auditor</w:t>
      </w:r>
      <w:r>
        <w:t xml:space="preserve"> </w:t>
      </w:r>
      <w:r>
        <w:t xml:space="preserve">is even more scrutinized, requiring adherence to International Financial Reporting Standards (IFRS) and specific QFC regulations.</w:t>
      </w:r>
    </w:p>
    <w:p>
      <w:pPr>
        <w:numPr>
          <w:ilvl w:val="0"/>
          <w:numId w:val="1001"/>
        </w:numPr>
        <w:pStyle w:val="Compact"/>
      </w:pPr>
      <w:r>
        <w:rPr>
          <w:bCs/>
          <w:b/>
        </w:rPr>
        <w:t xml:space="preserve">The Central Bank of Qatar:</w:t>
      </w:r>
      <w:r>
        <w:t xml:space="preserve"> </w:t>
      </w:r>
      <w:r>
        <w:t xml:space="preserve">For banks and insurance companies operating in Qatar Doha, auditors must comply with strict prudential guidelines set by the Central Bank. This includes rigorous internal control testing and risk management assessments.</w:t>
      </w:r>
    </w:p>
    <w:p>
      <w:pPr>
        <w:pStyle w:val="FirstParagraph"/>
      </w:pPr>
      <w:r>
        <w:t xml:space="preserve">An effective</w:t>
      </w:r>
      <w:r>
        <w:t xml:space="preserve"> </w:t>
      </w:r>
      <w:r>
        <w:rPr>
          <w:bCs/>
          <w:b/>
        </w:rPr>
        <w:t xml:space="preserve">Auditor</w:t>
      </w:r>
      <w:r>
        <w:t xml:space="preserve"> </w:t>
      </w:r>
      <w:r>
        <w:t xml:space="preserve">must possess a deep understanding of these overlapping jurisdictions to provide accurate compliance assurance.</w:t>
      </w:r>
    </w:p>
    <w:bookmarkEnd w:id="22"/>
    <w:bookmarkStart w:id="26" w:name="X32e25d7e31c7fe84033a0dff98836d86a607251"/>
    <w:p>
      <w:pPr>
        <w:pStyle w:val="Heading2"/>
      </w:pPr>
      <w:r>
        <w:t xml:space="preserve">4. Key Challenges for Auditors in Qatar Doha</w:t>
      </w:r>
    </w:p>
    <w:bookmarkStart w:id="23" w:name="a.-navigating-cultural-and-legal-nuances"/>
    <w:p>
      <w:pPr>
        <w:pStyle w:val="Heading3"/>
      </w:pPr>
      <w:r>
        <w:t xml:space="preserve">A. Navigating Cultural and Legal Nuances</w:t>
      </w:r>
    </w:p>
    <w:p>
      <w:pPr>
        <w:pStyle w:val="FirstParagraph"/>
      </w:pPr>
      <w:r>
        <w:t xml:space="preserve">The legal system in Qatar is a hybrid of civil law principles derived from Egyptian codes, Islamic Sharia law, and customary practices. For an</w:t>
      </w:r>
      <w:r>
        <w:t xml:space="preserve"> </w:t>
      </w:r>
      <w:r>
        <w:rPr>
          <w:bCs/>
          <w:b/>
        </w:rPr>
        <w:t xml:space="preserve">Auditor</w:t>
      </w:r>
      <w:r>
        <w:t xml:space="preserve">, this presents a unique challenge when auditing contracts involving financing structures that must be Sharia-compliant. Traditional interest-based debt instruments are replaced by profit-and-loss sharing models. An</w:t>
      </w:r>
      <w:r>
        <w:t xml:space="preserve"> </w:t>
      </w:r>
      <w:r>
        <w:rPr>
          <w:bCs/>
          <w:b/>
        </w:rPr>
        <w:t xml:space="preserve">Auditor</w:t>
      </w:r>
      <w:r>
        <w:t xml:space="preserve"> </w:t>
      </w:r>
      <w:r>
        <w:t xml:space="preserve">in Qatar Doha must understand these financial instruments to accurately assess revenue recognition and liability, ensuring that the audit opinion reflects the true economic substance of transactions.</w:t>
      </w:r>
    </w:p>
    <w:bookmarkEnd w:id="23"/>
    <w:bookmarkStart w:id="24" w:name="X9d55de7dc097147d6fc4024076be34f0efccf0c"/>
    <w:p>
      <w:pPr>
        <w:pStyle w:val="Heading3"/>
      </w:pPr>
      <w:r>
        <w:t xml:space="preserve">B. Digital Transformation and Cybersecurity</w:t>
      </w:r>
    </w:p>
    <w:p>
      <w:pPr>
        <w:pStyle w:val="FirstParagraph"/>
      </w:pPr>
      <w:r>
        <w:t xml:space="preserve">Doha is rapidly digitizing its government and private sectors through initiatives like "Smart Doha." Consequently, auditors are increasingly required to perform IT audits alongside financial audits. The risk of cyber threats is a major concern for entities in Qatar Doha. Therefore, the modern</w:t>
      </w:r>
      <w:r>
        <w:t xml:space="preserve"> </w:t>
      </w:r>
      <w:r>
        <w:rPr>
          <w:bCs/>
          <w:b/>
        </w:rPr>
        <w:t xml:space="preserve">Auditor</w:t>
      </w:r>
      <w:r>
        <w:t xml:space="preserve"> </w:t>
      </w:r>
      <w:r>
        <w:t xml:space="preserve">must evaluate internal controls related to data security, access rights, and system integrity. Failure to identify vulnerabilities in digital infrastructure can lead to significant reputational and financial damage.</w:t>
      </w:r>
    </w:p>
    <w:bookmarkEnd w:id="24"/>
    <w:bookmarkStart w:id="25" w:name="c.-talent-localization-qatarization"/>
    <w:p>
      <w:pPr>
        <w:pStyle w:val="Heading3"/>
      </w:pPr>
      <w:r>
        <w:t xml:space="preserve">C. Talent Localization (Qatarization)</w:t>
      </w:r>
    </w:p>
    <w:p>
      <w:pPr>
        <w:pStyle w:val="FirstParagraph"/>
      </w:pPr>
      <w:r>
        <w:t xml:space="preserve">The Qatari government actively promotes the employment of Qatari nationals through the "Qatarization" policy. This impacts the auditing sector, leading to a shift in workforce dynamics. Large international audit firms operating in Qatar Doha are partnering with local firms or training national talent to serve as auditors. This transition requires senior</w:t>
      </w:r>
      <w:r>
        <w:t xml:space="preserve"> </w:t>
      </w:r>
      <w:r>
        <w:rPr>
          <w:bCs/>
          <w:b/>
        </w:rPr>
        <w:t xml:space="preserve">Auditor</w:t>
      </w:r>
      <w:r>
        <w:t xml:space="preserve"> </w:t>
      </w:r>
      <w:r>
        <w:t xml:space="preserve">professionals to invest heavily in knowledge transfer and capacity building, ensuring that quality standards remain high despite the evolving composition of the audit teams.</w:t>
      </w:r>
    </w:p>
    <w:bookmarkEnd w:id="25"/>
    <w:bookmarkEnd w:id="26"/>
    <w:bookmarkStart w:id="27" w:name="Xc2362287066c0b10ed4c11f26166906a28f4b28"/>
    <w:p>
      <w:pPr>
        <w:pStyle w:val="Heading2"/>
      </w:pPr>
      <w:r>
        <w:t xml:space="preserve">5. Case Scenario: Post-World Cup Infrastructure Audit</w:t>
      </w:r>
    </w:p>
    <w:p>
      <w:pPr>
        <w:pStyle w:val="FirstParagraph"/>
      </w:pPr>
      <w:r>
        <w:t xml:space="preserve">To illustrate the practical application of auditing principles in Qatar Doha, consider a hypothetical scenario involving a major construction joint venture responsible for post-World Cup legacy projects. The project involves transforming temporary venues into permanent public facilities.</w:t>
      </w:r>
    </w:p>
    <w:p>
      <w:pPr>
        <w:pStyle w:val="BodyText"/>
      </w:pPr>
      <w:r>
        <w:rPr>
          <w:bCs/>
          <w:b/>
        </w:rPr>
        <w:t xml:space="preserve">The Situation:</w:t>
      </w:r>
      <w:r>
        <w:t xml:space="preserve"> </w:t>
      </w:r>
      <w:r>
        <w:t xml:space="preserve">The Joint Venture (JV) consists of a prominent Qatari contracting firm and an international engineering firm. As the entity prepares for its annual statutory audit, the appointed</w:t>
      </w:r>
      <w:r>
        <w:t xml:space="preserve"> </w:t>
      </w:r>
      <w:r>
        <w:rPr>
          <w:bCs/>
          <w:b/>
        </w:rPr>
        <w:t xml:space="preserve">Auditor</w:t>
      </w:r>
      <w:r>
        <w:t xml:space="preserve"> </w:t>
      </w:r>
      <w:r>
        <w:t xml:space="preserve">faces several issues:</w:t>
      </w:r>
      <w:r>
        <w:t xml:space="preserve"> </w:t>
      </w:r>
      <w:r>
        <w:t xml:space="preserve">1. Discrepancies in revenue recognition regarding government subsidies received for infrastructure development.</w:t>
      </w:r>
      <w:r>
        <w:t xml:space="preserve"> </w:t>
      </w:r>
      <w:r>
        <w:t xml:space="preserve">2. Complex foreign exchange transactions involving multiple currencies due to international supply chains.</w:t>
      </w:r>
    </w:p>
    <w:p>
      <w:pPr>
        <w:pStyle w:val="BodyText"/>
      </w:pPr>
      <w:r>
        <w:rPr>
          <w:bCs/>
          <w:b/>
        </w:rPr>
        <w:t xml:space="preserve">The Auditor's Intervention:</w:t>
      </w:r>
      <w:r>
        <w:t xml:space="preserve"> </w:t>
      </w:r>
      <w:r>
        <w:t xml:space="preserve">The</w:t>
      </w:r>
      <w:r>
        <w:t xml:space="preserve"> </w:t>
      </w:r>
      <w:r>
        <w:rPr>
          <w:bCs/>
          <w:b/>
        </w:rPr>
        <w:t xml:space="preserve">Auditor</w:t>
      </w:r>
      <w:r>
        <w:t xml:space="preserve"> </w:t>
      </w:r>
      <w:r>
        <w:t xml:space="preserve">conducted a detailed review of the subsidy agreements, ensuring that revenue was recognized in accordance with IFRS 15 (Revenue from Contracts with Customers). Furthermore, the auditor implemented rigorous testing for foreign exchange gains and losses to mitigate financial reporting risks. By identifying these issues early, the</w:t>
      </w:r>
      <w:r>
        <w:t xml:space="preserve"> </w:t>
      </w:r>
      <w:r>
        <w:rPr>
          <w:bCs/>
          <w:b/>
        </w:rPr>
        <w:t xml:space="preserve">Auditor</w:t>
      </w:r>
      <w:r>
        <w:t xml:space="preserve"> </w:t>
      </w:r>
      <w:r>
        <w:t xml:space="preserve">helped management correct their financial statements before public release, thereby maintaining investor trust in Qatar Doha’s construction sector.</w:t>
      </w:r>
    </w:p>
    <w:bookmarkEnd w:id="27"/>
    <w:bookmarkStart w:id="28" w:name="the-strategic-value-of-the-auditor"/>
    <w:p>
      <w:pPr>
        <w:pStyle w:val="Heading2"/>
      </w:pPr>
      <w:r>
        <w:t xml:space="preserve">6. The Strategic Value of the Auditor</w:t>
      </w:r>
    </w:p>
    <w:p>
      <w:pPr>
        <w:pStyle w:val="FirstParagraph"/>
      </w:pPr>
      <w:r>
        <w:t xml:space="preserve">In conclusion, the role of the</w:t>
      </w:r>
      <w:r>
        <w:t xml:space="preserve"> </w:t>
      </w:r>
      <w:r>
        <w:rPr>
          <w:bCs/>
          <w:b/>
        </w:rPr>
        <w:t xml:space="preserve">Auditor</w:t>
      </w:r>
      <w:r>
        <w:t xml:space="preserve"> </w:t>
      </w:r>
      <w:r>
        <w:t xml:space="preserve">in Qatar Doha extends far beyond regulatory compliance. It is a cornerstone of corporate governance and economic stability. As Qatar Doha continues to diversify its economy away from hydrocarbon dependency towards knowledge-based industries, the need for reliable financial information grows.</w:t>
      </w:r>
    </w:p>
    <w:p>
      <w:pPr>
        <w:pStyle w:val="BodyText"/>
      </w:pPr>
      <w:r>
        <w:t xml:space="preserve">The</w:t>
      </w:r>
      <w:r>
        <w:t xml:space="preserve"> </w:t>
      </w:r>
      <w:r>
        <w:rPr>
          <w:bCs/>
          <w:b/>
        </w:rPr>
        <w:t xml:space="preserve">Auditor</w:t>
      </w:r>
      <w:r>
        <w:t xml:space="preserve"> </w:t>
      </w:r>
      <w:r>
        <w:t xml:space="preserve">provides assurance that helps stakeholders—whether they are government entities, international investors, or local shareholders—make informed decisions. In a competitive global market, the reputation of Qatar Doha as a business hub relies heavily on the integrity and professionalism of its audit sector. Therefore, continuous professional development for auditors is essential to keep pace with evolving regulations in Doha.</w:t>
      </w:r>
    </w:p>
    <w:bookmarkEnd w:id="28"/>
    <w:bookmarkStart w:id="29" w:name="conclusion"/>
    <w:p>
      <w:pPr>
        <w:pStyle w:val="Heading2"/>
      </w:pPr>
      <w:r>
        <w:t xml:space="preserve">7. Conclusion</w:t>
      </w:r>
    </w:p>
    <w:p>
      <w:pPr>
        <w:pStyle w:val="FirstParagraph"/>
      </w:pPr>
      <w:r>
        <w:t xml:space="preserve">This case study demonstrates that the</w:t>
      </w:r>
      <w:r>
        <w:t xml:space="preserve"> </w:t>
      </w:r>
      <w:r>
        <w:rPr>
          <w:bCs/>
          <w:b/>
        </w:rPr>
        <w:t xml:space="preserve">Auditor</w:t>
      </w:r>
      <w:r>
        <w:t xml:space="preserve"> </w:t>
      </w:r>
      <w:r>
        <w:t xml:space="preserve">is a vital agent of change and stability in Qatar Doha. By navigating complex regulatory frameworks, addressing cultural-legal nuances, and adapting to digital transformation, auditors ensure that the economic ambitions of Qatar National Vision 2030 are supported by transparent and accurate financial reporting. For businesses operating in or investing in Qatar Doha, engaging a competent</w:t>
      </w:r>
      <w:r>
        <w:t xml:space="preserve"> </w:t>
      </w:r>
      <w:r>
        <w:rPr>
          <w:bCs/>
          <w:b/>
        </w:rPr>
        <w:t xml:space="preserve">Auditor</w:t>
      </w:r>
      <w:r>
        <w:t xml:space="preserve"> </w:t>
      </w:r>
      <w:r>
        <w:t xml:space="preserve">is not merely a legal obligation but a strategic imperative for long-term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Qatar Doha</dc:title>
  <dc:creator/>
  <dc:language>en</dc:language>
  <cp:keywords/>
  <dcterms:created xsi:type="dcterms:W3CDTF">2026-07-29T09:34:03Z</dcterms:created>
  <dcterms:modified xsi:type="dcterms:W3CDTF">2026-07-29T09:34:03Z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