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Singapore</w:t>
      </w:r>
    </w:p>
    <w:bookmarkStart w:id="27" w:name="X20d78d14433d9ec84b132ff4920f32338f47a2b"/>
    <w:p>
      <w:pPr>
        <w:pStyle w:val="Heading1"/>
      </w:pPr>
      <w:r>
        <w:t xml:space="preserve">Navigating Complexity: A Comprehensive Case Study on the Modern Auditor in Singapore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Singapore, Singapore</w:t>
      </w:r>
      <w:r>
        <w:br/>
      </w:r>
      <w:r>
        <w:rPr>
          <w:bCs/>
          <w:b/>
        </w:rPr>
        <w:t xml:space="preserve">Subject:</w:t>
      </w:r>
      <w:r>
        <w:t xml:space="preserve">The Strategic Evolution and Regulatory Impact of the Professional Auditor</w:t>
      </w:r>
    </w:p>
    <w:p>
      <w:pPr>
        <w:pStyle w:val="BodyText"/>
      </w:pPr>
      <w:r>
        <w:rPr>
          <w:iCs/>
          <w:i/>
        </w:rPr>
        <w:t xml:space="preserve">Singapore has long been recognized as a premier financial hub in Asia. Within this ecosystem, the role of the auditor transcends traditional compliance checks, becoming a cornerstone of market integrity, investor confidence, and corporate governance.</w:t>
      </w:r>
    </w:p>
    <w:bookmarkStart w:id="20" w:name="introduction-the-context-of-singapore"/>
    <w:p>
      <w:pPr>
        <w:pStyle w:val="Heading2"/>
      </w:pPr>
      <w:r>
        <w:t xml:space="preserve">1. Introduction: The Context of Singapore</w:t>
      </w:r>
    </w:p>
    <w:p>
      <w:pPr>
        <w:pStyle w:val="FirstParagraph"/>
      </w:pPr>
      <w:r>
        <w:t xml:space="preserve">Singapore is not merely a geographic location but a dynamic economic engine that serves as the gateway to Southeast Asia. As one of the most open economies in the world, Singapore attracts multinational corporations, financial institutions, and investment firms alike. Consequently, the demand for transparency and accountability is paramount. In this high-stakes environment, the</w:t>
      </w:r>
      <w:r>
        <w:t xml:space="preserve"> </w:t>
      </w:r>
      <w:r>
        <w:rPr>
          <w:bCs/>
          <w:b/>
        </w:rPr>
        <w:t xml:space="preserve">Auditor</w:t>
      </w:r>
      <w:r>
        <w:t xml:space="preserve"> </w:t>
      </w:r>
      <w:r>
        <w:t xml:space="preserve">plays a pivotal role in maintaining trust.</w:t>
      </w:r>
    </w:p>
    <w:p>
      <w:pPr>
        <w:pStyle w:val="BodyText"/>
      </w:pPr>
      <w:r>
        <w:t xml:space="preserve">The economic landscape of</w:t>
      </w:r>
      <w:r>
        <w:t xml:space="preserve"> </w:t>
      </w:r>
      <w:r>
        <w:rPr>
          <w:bCs/>
          <w:b/>
        </w:rPr>
        <w:t xml:space="preserve">Singapore</w:t>
      </w:r>
      <w:r>
        <w:t xml:space="preserve"> </w:t>
      </w:r>
      <w:r>
        <w:t xml:space="preserve">is characterized by rigorous regulatory standards set by the Accounting and Corporate Regulatory Authority (ACRA) and the Institute of Singapore Chartered Accountants (ISCA). These bodies ensure that financial reporting aligns with International Financial Reporting Standards (IFRS), thereby enhancing the credibility of Singapore-incorporated entities on the global stage. This case study explores how an</w:t>
      </w:r>
      <w:r>
        <w:t xml:space="preserve"> </w:t>
      </w:r>
      <w:r>
        <w:rPr>
          <w:bCs/>
          <w:b/>
        </w:rPr>
        <w:t xml:space="preserve">Auditor</w:t>
      </w:r>
      <w:r>
        <w:t xml:space="preserve"> </w:t>
      </w:r>
      <w:r>
        <w:t xml:space="preserve">operates within this specific jurisdiction, addressing challenges such as digital transformation, regulatory scrutiny, and ethical governance.</w:t>
      </w:r>
    </w:p>
    <w:bookmarkEnd w:id="20"/>
    <w:bookmarkStart w:id="21" w:name="case-profile-techventures-pte-ltd"/>
    <w:p>
      <w:pPr>
        <w:pStyle w:val="Heading2"/>
      </w:pPr>
      <w:r>
        <w:t xml:space="preserve">2. Case Profile: TechVentures Pte Ltd</w:t>
      </w:r>
    </w:p>
    <w:p>
      <w:pPr>
        <w:pStyle w:val="FirstParagraph"/>
      </w:pPr>
      <w:r>
        <w:t xml:space="preserve">To illustrate the practical application of auditing standards in</w:t>
      </w:r>
      <w:r>
        <w:t xml:space="preserve"> </w:t>
      </w:r>
      <w:r>
        <w:rPr>
          <w:bCs/>
          <w:b/>
        </w:rPr>
        <w:t xml:space="preserve">Singapore Singapore</w:t>
      </w:r>
      <w:r>
        <w:t xml:space="preserve">, we examine a hypothetical yet representative case study involving "TechVentures Pte Ltd," a mid-sized technology firm listed on the Singapore Exchange (SGX). TechVentures has experienced rapid growth over the past five years, expanding from a local startup to an international player with subsidiaries in Malaysia, Indonesia, and China.</w:t>
      </w:r>
    </w:p>
    <w:p>
      <w:pPr>
        <w:pStyle w:val="BodyText"/>
      </w:pPr>
      <w:r>
        <w:t xml:space="preserve">The company’s financial structure is complex due to cross-border transactions, variable exchange rates, and intricate revenue recognition models associated with software-as-a-service (SaaS) contracts. The appointment of a reputable external</w:t>
      </w:r>
      <w:r>
        <w:t xml:space="preserve"> </w:t>
      </w:r>
      <w:r>
        <w:rPr>
          <w:bCs/>
          <w:b/>
        </w:rPr>
        <w:t xml:space="preserve">Auditor</w:t>
      </w:r>
      <w:r>
        <w:t xml:space="preserve"> </w:t>
      </w:r>
      <w:r>
        <w:t xml:space="preserve">was critical not only for regulatory compliance but also for securing Series C funding from international venture capitalists who demanded rigorous assurance of financial health.</w:t>
      </w:r>
    </w:p>
    <w:bookmarkEnd w:id="21"/>
    <w:bookmarkStart w:id="22" w:name="X83d304b169b84a63ff5ca4b5d4f80fd88831af5"/>
    <w:p>
      <w:pPr>
        <w:pStyle w:val="Heading2"/>
      </w:pPr>
      <w:r>
        <w:t xml:space="preserve">3. Challenges Faced by the Auditor in Singapore</w:t>
      </w:r>
    </w:p>
    <w:p>
      <w:pPr>
        <w:pStyle w:val="FirstParagraph"/>
      </w:pPr>
      <w:r>
        <w:t xml:space="preserve">The engagement team assigned to audit TechVentures faced several distinct challenges inherent to operating in</w:t>
      </w:r>
      <w:r>
        <w:t xml:space="preserve"> </w:t>
      </w:r>
      <w:r>
        <w:rPr>
          <w:bCs/>
          <w:b/>
        </w:rPr>
        <w:t xml:space="preserve">Singapore</w:t>
      </w:r>
      <w:r>
        <w:t xml:space="preserve">:</w:t>
      </w:r>
    </w:p>
    <w:p>
      <w:pPr>
        <w:numPr>
          <w:ilvl w:val="0"/>
          <w:numId w:val="1001"/>
        </w:numPr>
        <w:pStyle w:val="Compact"/>
      </w:pPr>
      <w:r>
        <w:rPr>
          <w:bCs/>
          <w:b/>
        </w:rPr>
        <w:t xml:space="preserve">Digital Transformation and Cybersecurity:</w:t>
      </w:r>
      <w:r>
        <w:t xml:space="preserve"> </w:t>
      </w:r>
      <w:r>
        <w:t xml:space="preserve">As a tech company, TechVentures relies heavily on cloud computing and automated data processing. The auditor had to assess not just the numbers but the integrity of the underlying IT systems. In</w:t>
      </w:r>
      <w:r>
        <w:t xml:space="preserve"> </w:t>
      </w:r>
      <w:r>
        <w:rPr>
          <w:bCs/>
          <w:b/>
        </w:rPr>
        <w:t xml:space="preserve">Singapore</w:t>
      </w:r>
      <w:r>
        <w:t xml:space="preserve">, where cyber threats are a significant concern, auditing Information Technology General Controls (ITGCs) became as important as testing financial transactions.</w:t>
      </w:r>
    </w:p>
    <w:p>
      <w:pPr>
        <w:numPr>
          <w:ilvl w:val="0"/>
          <w:numId w:val="1001"/>
        </w:numPr>
        <w:pStyle w:val="Compact"/>
      </w:pPr>
      <w:r>
        <w:rPr>
          <w:bCs/>
          <w:b/>
        </w:rPr>
        <w:t xml:space="preserve">Revenue Recognition Complexity:</w:t>
      </w:r>
      <w:r>
        <w:t xml:space="preserve"> </w:t>
      </w:r>
      <w:r>
        <w:t xml:space="preserve">Under IFRS 15, revenue recognition for multi-element SaaS contracts is complex. The</w:t>
      </w:r>
      <w:r>
        <w:t xml:space="preserve"> </w:t>
      </w:r>
      <w:r>
        <w:rPr>
          <w:bCs/>
          <w:b/>
        </w:rPr>
        <w:t xml:space="preserve">Auditor</w:t>
      </w:r>
      <w:r>
        <w:t xml:space="preserve"> </w:t>
      </w:r>
      <w:r>
        <w:t xml:space="preserve">had to determine whether performance obligations were satisfied at a point in time or over time, requiring significant professional judgment and technical expertise.</w:t>
      </w:r>
    </w:p>
    <w:p>
      <w:pPr>
        <w:numPr>
          <w:ilvl w:val="0"/>
          <w:numId w:val="1001"/>
        </w:numPr>
        <w:pStyle w:val="Compact"/>
      </w:pPr>
      <w:r>
        <w:rPr>
          <w:bCs/>
          <w:b/>
        </w:rPr>
        <w:t xml:space="preserve">Cross-Border Regulatory Alignment:</w:t>
      </w:r>
      <w:r>
        <w:t xml:space="preserve"> </w:t>
      </w:r>
      <w:r>
        <w:t xml:space="preserve">While the audit was conducted under Singapore standards, the subsidiaries operated under different jurisdictions. The lead</w:t>
      </w:r>
      <w:r>
        <w:t xml:space="preserve"> </w:t>
      </w:r>
      <w:r>
        <w:rPr>
          <w:bCs/>
          <w:b/>
        </w:rPr>
        <w:t xml:space="preserve">Auditor</w:t>
      </w:r>
      <w:r>
        <w:t xml:space="preserve"> </w:t>
      </w:r>
      <w:r>
        <w:t xml:space="preserve">had to coordinate with component auditors in neighboring countries, ensuring consistency while respecting local legal frameworks within the ASEAN region.</w:t>
      </w:r>
    </w:p>
    <w:p>
      <w:pPr>
        <w:numPr>
          <w:ilvl w:val="0"/>
          <w:numId w:val="1001"/>
        </w:numPr>
        <w:pStyle w:val="Compact"/>
      </w:pPr>
      <w:r>
        <w:rPr>
          <w:bCs/>
          <w:b/>
        </w:rPr>
        <w:t xml:space="preserve">Sustainability Reporting (ESG):</w:t>
      </w:r>
      <w:r>
        <w:t xml:space="preserve"> </w:t>
      </w:r>
      <w:r>
        <w:t xml:space="preserve">Recently, SGX has placed greater emphasis on Environmental, Social, and Governance (ESG) disclosures. The</w:t>
      </w:r>
      <w:r>
        <w:t xml:space="preserve"> </w:t>
      </w:r>
      <w:r>
        <w:rPr>
          <w:bCs/>
          <w:b/>
        </w:rPr>
        <w:t xml:space="preserve">Auditor</w:t>
      </w:r>
      <w:r>
        <w:t xml:space="preserve"> </w:t>
      </w:r>
      <w:r>
        <w:t xml:space="preserve">was tasked with providing limited assurance on TechVentures’ sustainability reports, a new frontier for many auditors in</w:t>
      </w:r>
      <w:r>
        <w:t xml:space="preserve"> </w:t>
      </w:r>
      <w:r>
        <w:rPr>
          <w:bCs/>
          <w:b/>
        </w:rPr>
        <w:t xml:space="preserve">Singapore Singapore</w:t>
      </w:r>
      <w:r>
        <w:t xml:space="preserve">.</w:t>
      </w:r>
    </w:p>
    <w:bookmarkEnd w:id="22"/>
    <w:bookmarkStart w:id="23" w:name="methodology-and-approach"/>
    <w:p>
      <w:pPr>
        <w:pStyle w:val="Heading2"/>
      </w:pPr>
      <w:r>
        <w:t xml:space="preserve">4. Methodology and Approach</w:t>
      </w:r>
    </w:p>
    <w:p>
      <w:pPr>
        <w:pStyle w:val="FirstParagraph"/>
      </w:pPr>
      <w:r>
        <w:t xml:space="preserve">To address these challenges, the audit firm adopted a risk-based auditing approach tailored to the unique context of</w:t>
      </w:r>
      <w:r>
        <w:t xml:space="preserve"> </w:t>
      </w:r>
      <w:r>
        <w:rPr>
          <w:bCs/>
          <w:b/>
        </w:rPr>
        <w:t xml:space="preserve">Singapore</w:t>
      </w:r>
      <w:r>
        <w:t xml:space="preserve">:</w:t>
      </w:r>
    </w:p>
    <w:p>
      <w:pPr>
        <w:numPr>
          <w:ilvl w:val="0"/>
          <w:numId w:val="1002"/>
        </w:numPr>
        <w:pStyle w:val="Compact"/>
      </w:pPr>
      <w:r>
        <w:rPr>
          <w:bCs/>
          <w:b/>
        </w:rPr>
        <w:t xml:space="preserve">Risk Assessment:</w:t>
      </w:r>
      <w:r>
        <w:t xml:space="preserve"> </w:t>
      </w:r>
      <w:r>
        <w:t xml:space="preserve">The team began by identifying areas of high risk, such as related-party transactions and fair value measurements. This proactive stance is mandated by Auditing Standards in Singapore (SAS).</w:t>
      </w:r>
    </w:p>
    <w:p>
      <w:pPr>
        <w:numPr>
          <w:ilvl w:val="0"/>
          <w:numId w:val="1002"/>
        </w:numPr>
        <w:pStyle w:val="Compact"/>
      </w:pPr>
      <w:r>
        <w:rPr>
          <w:vertAlign w:val="subscript"/>
        </w:rPr>
        <w:t xml:space="preserve">Data Analytics:</w:t>
      </w:r>
    </w:p>
    <w:p>
      <w:pPr>
        <w:numPr>
          <w:ilvl w:val="0"/>
          <w:numId w:val="1000"/>
        </w:numPr>
        <w:pStyle w:val="Compact"/>
      </w:pPr>
      <w:r>
        <w:t xml:space="preserve">The auditors utilized advanced data analytics tools to analyze 100% of transactional data rather than relying on sampling. This allowed for the detection of anomalies and potential fraud indicators more efficiently, a best practice encouraged by regulators in</w:t>
      </w:r>
      <w:r>
        <w:t xml:space="preserve"> </w:t>
      </w:r>
      <w:r>
        <w:rPr>
          <w:bCs/>
          <w:b/>
        </w:rPr>
        <w:t xml:space="preserve">Singapore</w:t>
      </w:r>
      <w:r>
        <w:t xml:space="preserve">.</w:t>
      </w:r>
    </w:p>
    <w:p>
      <w:pPr>
        <w:numPr>
          <w:ilvl w:val="0"/>
          <w:numId w:val="1002"/>
        </w:numPr>
        <w:pStyle w:val="Compact"/>
      </w:pPr>
      <w:r>
        <w:rPr>
          <w:bCs/>
          <w:b/>
        </w:rPr>
        <w:t xml:space="preserve">Substantive Testing:</w:t>
      </w:r>
    </w:p>
    <w:p>
      <w:pPr>
        <w:numPr>
          <w:ilvl w:val="0"/>
          <w:numId w:val="1000"/>
        </w:numPr>
        <w:pStyle w:val="Compact"/>
      </w:pPr>
      <w:r>
        <w:t xml:space="preserve">The team performed extensive substantive testing on revenue cycles, verifying contracts with customers directly to confirm terms and conditions.</w:t>
      </w:r>
    </w:p>
    <w:p>
      <w:pPr>
        <w:numPr>
          <w:ilvl w:val="0"/>
          <w:numId w:val="1002"/>
        </w:numPr>
        <w:pStyle w:val="Compact"/>
      </w:pPr>
      <w:r>
        <w:rPr>
          <w:bCs/>
          <w:b/>
        </w:rPr>
        <w:t xml:space="preserve">Ethical Integrity:</w:t>
      </w:r>
    </w:p>
    <w:p>
      <w:pPr>
        <w:numPr>
          <w:ilvl w:val="0"/>
          <w:numId w:val="1000"/>
        </w:numPr>
        <w:pStyle w:val="Compact"/>
      </w:pPr>
      <w:r>
        <w:t xml:space="preserve">A core component of the audit was ensuring independence. The auditors adhered strictly to the Code of Professional Conduct and Ethics issued by ISCA, which is rigorously enforced in</w:t>
      </w:r>
      <w:r>
        <w:t xml:space="preserve"> </w:t>
      </w:r>
      <w:r>
        <w:rPr>
          <w:bCs/>
          <w:b/>
        </w:rPr>
        <w:t xml:space="preserve">Singapore Singapore</w:t>
      </w:r>
      <w:r>
        <w:t xml:space="preserve">.</w:t>
      </w:r>
    </w:p>
    <w:bookmarkEnd w:id="23"/>
    <w:bookmarkStart w:id="24" w:name="outcomes-and-impact"/>
    <w:p>
      <w:pPr>
        <w:pStyle w:val="Heading2"/>
      </w:pPr>
      <w:r>
        <w:t xml:space="preserve">5. Outcomes and Impact</w:t>
      </w:r>
    </w:p>
    <w:p>
      <w:pPr>
        <w:pStyle w:val="FirstParagraph"/>
      </w:pPr>
      <w:r>
        <w:t xml:space="preserve">The audit concluded with a clean opinion, validating TechVentures’ financial statements. However, the value provided by the</w:t>
      </w:r>
      <w:r>
        <w:t xml:space="preserve"> </w:t>
      </w:r>
      <w:r>
        <w:rPr>
          <w:bCs/>
          <w:b/>
        </w:rPr>
        <w:t xml:space="preserve">Auditor</w:t>
      </w:r>
      <w:r>
        <w:t xml:space="preserve"> </w:t>
      </w:r>
      <w:r>
        <w:t xml:space="preserve">extended beyond the issuance of an opinion:</w:t>
      </w:r>
    </w:p>
    <w:p>
      <w:pPr>
        <w:numPr>
          <w:ilvl w:val="0"/>
          <w:numId w:val="1003"/>
        </w:numPr>
        <w:pStyle w:val="Compact"/>
      </w:pPr>
      <w:r>
        <w:rPr>
          <w:bCs/>
          <w:b/>
        </w:rPr>
        <w:t xml:space="preserve">Enhanced Investor Confidence:</w:t>
      </w:r>
    </w:p>
    <w:p>
      <w:pPr>
        <w:numPr>
          <w:ilvl w:val="0"/>
          <w:numId w:val="1000"/>
        </w:numPr>
        <w:pStyle w:val="Compact"/>
      </w:pPr>
      <w:r>
        <w:t xml:space="preserve">The transparent reporting facilitated by the audit helped TechVentures secure its funding round at a favorable valuation. International investors cited the rigorous audit process in</w:t>
      </w:r>
      <w:r>
        <w:t xml:space="preserve"> </w:t>
      </w:r>
      <w:r>
        <w:rPr>
          <w:bCs/>
          <w:b/>
        </w:rPr>
        <w:t xml:space="preserve">Singapore</w:t>
      </w:r>
      <w:r>
        <w:t xml:space="preserve"> </w:t>
      </w:r>
      <w:r>
        <w:t xml:space="preserve">as a key factor in their decision.</w:t>
      </w:r>
    </w:p>
    <w:p>
      <w:pPr>
        <w:numPr>
          <w:ilvl w:val="0"/>
          <w:numId w:val="1003"/>
        </w:numPr>
        <w:pStyle w:val="Compact"/>
      </w:pPr>
      <w:r>
        <w:t xml:space="preserve">Operational Improvements:</w:t>
      </w:r>
    </w:p>
    <w:p>
      <w:pPr>
        <w:numPr>
          <w:ilvl w:val="0"/>
          <w:numId w:val="1000"/>
        </w:numPr>
        <w:pStyle w:val="Compact"/>
      </w:pPr>
      <w:r>
        <w:t xml:space="preserve">The auditors identified weaknesses in internal controls regarding inventory management for hardware sales. Management implemented the auditor’s recommendations, resulting in a 15% reduction in inventory shrinkage within six months.</w:t>
      </w:r>
    </w:p>
    <w:p>
      <w:pPr>
        <w:numPr>
          <w:ilvl w:val="0"/>
          <w:numId w:val="1003"/>
        </w:numPr>
        <w:pStyle w:val="Compact"/>
      </w:pPr>
      <w:r>
        <w:t xml:space="preserve">Benchmarking Against Peers:</w:t>
      </w:r>
    </w:p>
    <w:p>
      <w:pPr>
        <w:numPr>
          <w:ilvl w:val="0"/>
          <w:numId w:val="1000"/>
        </w:numPr>
        <w:pStyle w:val="Compact"/>
      </w:pPr>
      <w:r>
        <w:t xml:space="preserve">The audit process included benchmarking against industry peers, providing TechVentures’ board with insights into best practices prevalent among leading firms in</w:t>
      </w:r>
      <w:r>
        <w:t xml:space="preserve"> </w:t>
      </w:r>
      <w:r>
        <w:rPr>
          <w:bCs/>
          <w:b/>
        </w:rPr>
        <w:t xml:space="preserve">Singapore</w:t>
      </w:r>
      <w:r>
        <w:t xml:space="preserve">.</w:t>
      </w:r>
    </w:p>
    <w:bookmarkEnd w:id="24"/>
    <w:bookmarkStart w:id="25" w:name="X789e803abfca666c403946caa061eefe9c3b7bd"/>
    <w:p>
      <w:pPr>
        <w:pStyle w:val="Heading2"/>
      </w:pPr>
      <w:r>
        <w:t xml:space="preserve">6. Regulatory Landscape and Future Outlook in Singapore</w:t>
      </w:r>
    </w:p>
    <w:p>
      <w:pPr>
        <w:pStyle w:val="FirstParagraph"/>
      </w:pPr>
      <w:r>
        <w:t xml:space="preserve">The role of the auditor is evolving rapidly. In recent years, the regulatory environment in</w:t>
      </w:r>
      <w:r>
        <w:t xml:space="preserve"> </w:t>
      </w:r>
      <w:r>
        <w:rPr>
          <w:bCs/>
          <w:b/>
        </w:rPr>
        <w:t xml:space="preserve">Singapore Singapore</w:t>
      </w:r>
      <w:r>
        <w:t xml:space="preserve"> </w:t>
      </w:r>
      <w:r>
        <w:t xml:space="preserve">has become more stringent regarding audit quality and transparency. Key developments include:</w:t>
      </w:r>
    </w:p>
    <w:p>
      <w:pPr>
        <w:numPr>
          <w:ilvl w:val="0"/>
          <w:numId w:val="1004"/>
        </w:numPr>
        <w:pStyle w:val="Compact"/>
      </w:pPr>
      <w:r>
        <w:rPr>
          <w:bCs/>
          <w:b/>
        </w:rPr>
        <w:t xml:space="preserve">►</w:t>
      </w:r>
      <w:r>
        <w:t xml:space="preserve"> </w:t>
      </w:r>
      <w:r>
        <w:t xml:space="preserve">The establishment of the Audit Oversight Board (AOB) to oversee the auditing profession.</w:t>
      </w:r>
    </w:p>
    <w:p>
      <w:pPr>
        <w:numPr>
          <w:ilvl w:val="0"/>
          <w:numId w:val="1004"/>
        </w:numPr>
        <w:pStyle w:val="Compact"/>
      </w:pPr>
      <w:r>
        <w:rPr>
          <w:bCs/>
          <w:b/>
        </w:rPr>
        <w:t xml:space="preserve">►</w:t>
      </w:r>
      <w:r>
        <w:t xml:space="preserve"> </w:t>
      </w:r>
      <w:r>
        <w:t xml:space="preserve">Mandatory rotation of audit partners to ensure objectivity.</w:t>
      </w:r>
    </w:p>
    <w:p>
      <w:pPr>
        <w:numPr>
          <w:ilvl w:val="0"/>
          <w:numId w:val="1004"/>
        </w:numPr>
        <w:pStyle w:val="Compact"/>
      </w:pPr>
      <w:r>
        <w:rPr>
          <w:bCs/>
          <w:b/>
        </w:rPr>
        <w:t xml:space="preserve">►</w:t>
      </w:r>
      <w:r>
        <w:t xml:space="preserve"> </w:t>
      </w:r>
      <w:r>
        <w:t xml:space="preserve">Increased focus on non-financial reporting and assurance services.</w:t>
      </w:r>
    </w:p>
    <w:p>
      <w:pPr>
        <w:pStyle w:val="FirstParagraph"/>
      </w:pPr>
      <w:r>
        <w:t xml:space="preserve">Futurists in the industry predict that auditors in</w:t>
      </w:r>
      <w:r>
        <w:t xml:space="preserve"> </w:t>
      </w:r>
      <w:r>
        <w:rPr>
          <w:bCs/>
          <w:b/>
        </w:rPr>
        <w:t xml:space="preserve">Singapore</w:t>
      </w:r>
      <w:r>
        <w:t xml:space="preserve"> </w:t>
      </w:r>
      <w:r>
        <w:t xml:space="preserve">will increasingly act as strategic advisors, leveraging artificial intelligence and blockchain technology to provide real-time assurance. The traditional periodic audit may give way to continuous auditing models, particularly for large listed companies.</w:t>
      </w:r>
    </w:p>
    <w:bookmarkEnd w:id="25"/>
    <w:bookmarkStart w:id="26" w:name="conclusion"/>
    <w:p>
      <w:pPr>
        <w:pStyle w:val="Heading2"/>
      </w:pPr>
      <w:r>
        <w:t xml:space="preserve">7. Conclusion</w:t>
      </w:r>
    </w:p>
    <w:p>
      <w:pPr>
        <w:pStyle w:val="FirstParagraph"/>
      </w:pPr>
      <w:r>
        <w:t xml:space="preserve">This case study demonstrates that the position of an</w:t>
      </w:r>
      <w:r>
        <w:t xml:space="preserve"> </w:t>
      </w:r>
      <w:r>
        <w:rPr>
          <w:bCs/>
          <w:b/>
        </w:rPr>
        <w:t xml:space="preserve">Auditor</w:t>
      </w:r>
      <w:r>
        <w:t xml:space="preserve"> </w:t>
      </w:r>
      <w:r>
        <w:t xml:space="preserve">in</w:t>
      </w:r>
      <w:r>
        <w:t xml:space="preserve"> </w:t>
      </w:r>
      <w:r>
        <w:rPr>
          <w:bCs/>
          <w:b/>
        </w:rPr>
        <w:t xml:space="preserve">Singapore Singapore</w:t>
      </w:r>
    </w:p>
    <w:p>
      <w:pPr>
        <w:pStyle w:val="BodyText"/>
      </w:pPr>
      <w:r>
        <w:t xml:space="preserve">As Singapore continues to solidify its status as a global financial center, the standards for auditing will only rise. The modern auditor must adapt to technological advancements and changing stakeholder expectations while upholding the high integrity that defines Singapore’s business reputation. Ultimately, the synergy between robust auditing practices and Singapore’s regulatory framework ensures a resilient and trustworthy economic environment for all participants.</w:t>
      </w:r>
    </w:p>
    <w:p>
      <w:pPr>
        <w:pStyle w:val="BodyText"/>
      </w:pPr>
      <w:r>
        <w:t xml:space="preserve">© 2023 Corporate Governance Research Institute. All rights reserved.</w:t>
      </w:r>
      <w:r>
        <w:br/>
      </w:r>
      <w:r>
        <w:t xml:space="preserve">This document is for informational purposes only and does not constitute legal or professional advice.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Auditor in Singapore</dc:title>
  <dc:creator/>
  <dc:language>en</dc:language>
  <cp:keywords/>
  <dcterms:created xsi:type="dcterms:W3CDTF">2026-07-29T06:31:51Z</dcterms:created>
  <dcterms:modified xsi:type="dcterms:W3CDTF">2026-07-29T06:31:51Z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