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Switzerland</w:t>
      </w:r>
      <w:r>
        <w:t xml:space="preserve"> </w:t>
      </w:r>
      <w:r>
        <w:t xml:space="preserve">Zurich</w:t>
      </w:r>
    </w:p>
    <w:bookmarkStart w:id="28" w:name="X32e98d374f803ff071f53ab8726b643c1f4f3df"/>
    <w:p>
      <w:pPr>
        <w:pStyle w:val="Heading1"/>
      </w:pPr>
      <w:r>
        <w:t xml:space="preserve">Case Study: The Strategic Imperative of the Auditor in Switzerland Zurich</w:t>
      </w:r>
    </w:p>
    <w:p>
      <w:pPr>
        <w:pStyle w:val="FirstParagraph"/>
      </w:pPr>
      <w:r>
        <w:rPr>
          <w:bCs/>
          <w:b/>
        </w:rPr>
        <w:t xml:space="preserve">Date:</w:t>
      </w:r>
      <w:r>
        <w:t xml:space="preserve"> </w:t>
      </w:r>
      <w:r>
        <w:t xml:space="preserve">October 26, 2023</w:t>
      </w:r>
      <w:r>
        <w:br/>
      </w:r>
      <w:r>
        <w:rPr>
          <w:bCs/>
          <w:b/>
        </w:rPr>
        <w:t xml:space="preserve">Location:</w:t>
      </w:r>
      <w:hyperlink w:anchor="context">
        <w:r>
          <w:rPr>
            <w:rStyle w:val="Hyperlink"/>
          </w:rPr>
          <w:t xml:space="preserve">Switzerland, Zurich</w:t>
        </w:r>
      </w:hyperlink>
      <w:r>
        <w:br/>
      </w:r>
    </w:p>
    <w:p>
      <w:pPr>
        <w:pStyle w:val="BodyText"/>
      </w:pPr>
      <w:r>
        <w:t xml:space="preserve">Subject:</w:t>
      </w:r>
    </w:p>
    <w:p>
      <w:pPr>
        <w:pStyle w:val="BodyText"/>
      </w:pPr>
      <w:r>
        <w:t xml:space="preserve">An in-depth analysis of how a rigorous Auditor framework supports corporate integrity, regulatory compliance, and stakeholder trust within the dynamic financial hub of Switzerland Zurich.</w:t>
      </w:r>
    </w:p>
    <w:bookmarkStart w:id="20" w:name="context"/>
    <w:p>
      <w:pPr>
        <w:pStyle w:val="Heading2"/>
      </w:pPr>
      <w:r>
        <w:t xml:space="preserve">1. Introduction: The Context of Switzerland Zurich</w:t>
      </w:r>
    </w:p>
    <w:p>
      <w:pPr>
        <w:pStyle w:val="FirstParagraph"/>
      </w:pPr>
      <w:r>
        <w:t xml:space="preserve">To understand the critical nature of an external Audit in the modern economic landscape, one must first contextualize its operation within a specific geographical and regulatory ecosystem.</w:t>
      </w:r>
      <w:r>
        <w:t xml:space="preserve"> </w:t>
      </w:r>
      <w:r>
        <w:rPr>
          <w:bCs/>
          <w:b/>
        </w:rPr>
        <w:t xml:space="preserve">Switzerland Zurich</w:t>
      </w:r>
      <w:r>
        <w:t xml:space="preserve"> </w:t>
      </w:r>
      <w:r>
        <w:t xml:space="preserve">stands not merely as a city, but as a global epicenter for banking, wealth management, pharmaceuticals, and industrial machinery. It is a jurisdiction defined by stability, precision, and an uncompromising adherence to the rule of law. In this environment, the reputation of an entity is its most valuable currency. Consequently, the role of the</w:t>
      </w:r>
      <w:r>
        <w:t xml:space="preserve"> </w:t>
      </w:r>
      <w:r>
        <w:rPr>
          <w:bCs/>
          <w:b/>
        </w:rPr>
        <w:t xml:space="preserve">Auditor</w:t>
      </w:r>
      <w:r>
        <w:t xml:space="preserve"> </w:t>
      </w:r>
      <w:r>
        <w:t xml:space="preserve">transcends simple number-crunching; it becomes a pillar of economic stability and a guardian of public interest.</w:t>
      </w:r>
    </w:p>
    <w:p>
      <w:pPr>
        <w:pStyle w:val="BodyText"/>
      </w:pPr>
      <w:r>
        <w:t xml:space="preserve">This case study explores how businesses operating in</w:t>
      </w:r>
      <w:r>
        <w:t xml:space="preserve"> </w:t>
      </w:r>
      <w:r>
        <w:rPr>
          <w:bCs/>
          <w:b/>
        </w:rPr>
        <w:t xml:space="preserve">Switzerland Zurich</w:t>
      </w:r>
      <w:r>
        <w:t xml:space="preserve"> </w:t>
      </w:r>
      <w:r>
        <w:t xml:space="preserve">leverage comprehensive auditing services to navigate complex local regulations, including the Code of Obligations (OR) and International Financial Reporting Standards (IFRS). The focus is on how a meticulous approach by the</w:t>
      </w:r>
      <w:r>
        <w:t xml:space="preserve"> </w:t>
      </w:r>
      <w:r>
        <w:rPr>
          <w:bCs/>
          <w:b/>
        </w:rPr>
        <w:t xml:space="preserve">Auditor</w:t>
      </w:r>
      <w:r>
        <w:t xml:space="preserve"> </w:t>
      </w:r>
      <w:r>
        <w:t xml:space="preserve">mitigates risk and enhances corporate governance in one of the world's most competitive markets.</w:t>
      </w:r>
    </w:p>
    <w:bookmarkEnd w:id="20"/>
    <w:bookmarkStart w:id="21" w:name="corporate-profile-technova-ag"/>
    <w:p>
      <w:pPr>
        <w:pStyle w:val="Heading2"/>
      </w:pPr>
      <w:r>
        <w:t xml:space="preserve">2. Corporate Profile: TechNova AG</w:t>
      </w:r>
    </w:p>
    <w:p>
      <w:pPr>
        <w:pStyle w:val="FirstParagraph"/>
      </w:pPr>
      <w:r>
        <w:t xml:space="preserve">For the purposes of this case study, we examine "TechNova AG," a fictional mid-sized technology firm headquartered in Zurich. With annual revenues exceeding CHF 150 million and operations spanning across Europe, TechNova AG represents the archetype of a Swiss Mittelstand (small to medium-sized enterprise) that has scaled globally. As TechNova prepared for an initial public offering (IPO) on SIX Swiss Exchange, the necessity for a robust financial audit became paramount. The company faced high scrutiny from international investors who demanded transparency consistent with global best practices, while simultaneously needing to comply with strict local Swiss regulations.</w:t>
      </w:r>
    </w:p>
    <w:bookmarkEnd w:id="21"/>
    <w:bookmarkStart w:id="22" w:name="Xc380e9201f1cf5d02f7b3dce751b1dce365486e"/>
    <w:p>
      <w:pPr>
        <w:pStyle w:val="Heading2"/>
      </w:pPr>
      <w:r>
        <w:t xml:space="preserve">3. The Challenge: Navigating Dual Regulatory Expectations</w:t>
      </w:r>
    </w:p>
    <w:p>
      <w:pPr>
        <w:pStyle w:val="FirstParagraph"/>
      </w:pPr>
      <w:r>
        <w:t xml:space="preserve">TechNova AG encountered a multifaceted challenge. First, as a large corporation under Swiss law, it was subject to mandatory independent audits conducted by auditors admitted to the Federal Audit Oversight Authority (FAOA). Second, the company had subsidiaries in jurisdictions requiring compliance with IFRS standards. The disconnect between local Swiss GAAP DER and international IFRS presented significant reporting hurdles.</w:t>
      </w:r>
    </w:p>
    <w:p>
      <w:pPr>
        <w:pStyle w:val="BodyText"/>
      </w:pPr>
      <w:r>
        <w:t xml:space="preserve">Furthermore, the culture of</w:t>
      </w:r>
      <w:r>
        <w:t xml:space="preserve"> </w:t>
      </w:r>
      <w:r>
        <w:rPr>
          <w:bCs/>
          <w:b/>
        </w:rPr>
        <w:t xml:space="preserve">Switzerland Zurich</w:t>
      </w:r>
      <w:r>
        <w:t xml:space="preserve">, which values discretion yet demands high precision, meant that any financial irregularities would be swiftly identified by stakeholders. The company needed an</w:t>
      </w:r>
      <w:r>
        <w:t xml:space="preserve"> </w:t>
      </w:r>
      <w:r>
        <w:rPr>
          <w:bCs/>
          <w:b/>
        </w:rPr>
        <w:t xml:space="preserve">Auditor</w:t>
      </w:r>
      <w:r>
        <w:t xml:space="preserve"> </w:t>
      </w:r>
      <w:r>
        <w:t xml:space="preserve">who could not only verify historical data but also provide strategic insights into internal controls and risk management frameworks. The primary objective was to ensure that the financial statements accurately reflected the true state of affairs without obscuring underlying risks, thereby maintaining trust among shareholders, creditors, and regulatory bodies.</w:t>
      </w:r>
    </w:p>
    <w:bookmarkEnd w:id="22"/>
    <w:bookmarkStart w:id="23" w:name="methodology-the-role-of-the-auditor"/>
    <w:p>
      <w:pPr>
        <w:pStyle w:val="Heading2"/>
      </w:pPr>
      <w:r>
        <w:t xml:space="preserve">4. Methodology: The Role of the Auditor</w:t>
      </w:r>
    </w:p>
    <w:p>
      <w:pPr>
        <w:pStyle w:val="FirstParagraph"/>
      </w:pPr>
      <w:r>
        <w:t xml:space="preserve">The engagement was led by a top-tier audit firm recognized in</w:t>
      </w:r>
      <w:r>
        <w:t xml:space="preserve"> </w:t>
      </w:r>
      <w:r>
        <w:rPr>
          <w:bCs/>
          <w:b/>
        </w:rPr>
        <w:t xml:space="preserve">Switzerland Zurich</w:t>
      </w:r>
      <w:r>
        <w:t xml:space="preserve">. The methodology adopted followed a risk-based audit approach, ensuring that resources were allocated to areas with the highest potential for material misstatement. Key phases of the Audit process included:</w:t>
      </w:r>
    </w:p>
    <w:p>
      <w:pPr>
        <w:numPr>
          <w:ilvl w:val="0"/>
          <w:numId w:val="1001"/>
        </w:numPr>
        <w:pStyle w:val="Compact"/>
      </w:pPr>
      <w:r>
        <w:rPr>
          <w:bCs/>
          <w:b/>
        </w:rPr>
        <w:t xml:space="preserve">Risk Assessment:</w:t>
      </w:r>
      <w:r>
        <w:t xml:space="preserve"> </w:t>
      </w:r>
      <w:r>
        <w:t xml:space="preserve">The Auditor conducted an initial review of TechNova’s internal control environment. Given the tech industry's rapid innovation cycles, revenue recognition policies were identified as a high-risk area requiring detailed testing.</w:t>
      </w:r>
    </w:p>
    <w:p>
      <w:pPr>
        <w:numPr>
          <w:ilvl w:val="0"/>
          <w:numId w:val="1001"/>
        </w:numPr>
        <w:pStyle w:val="Compact"/>
      </w:pPr>
      <w:r>
        <w:t xml:space="preserve">In line with Swiss legal requirements, the Auditor scrutinized transactions to ensure that their economic substance was accurately reflected in the financial reports. This is particularly crucial in complex derivative trading common in Zurich-based financial structures.</w:t>
      </w:r>
    </w:p>
    <w:p>
      <w:pPr>
        <w:numPr>
          <w:ilvl w:val="0"/>
          <w:numId w:val="1001"/>
        </w:numPr>
        <w:pStyle w:val="Compact"/>
      </w:pPr>
      <w:r>
        <w:rPr>
          <w:bCs/>
          <w:b/>
        </w:rPr>
        <w:t xml:space="preserve">Compliance Verification:</w:t>
      </w:r>
      <w:r>
        <w:t xml:space="preserve">The Audit team verified compliance with the Swiss Code of Obligations, specifically regarding the annual accounts, management report, and corporate governance disclosures.</w:t>
      </w:r>
    </w:p>
    <w:p>
      <w:pPr>
        <w:numPr>
          <w:ilvl w:val="0"/>
          <w:numId w:val="1001"/>
        </w:numPr>
        <w:pStyle w:val="Compact"/>
      </w:pPr>
      <w:r>
        <w:rPr>
          <w:bCs/>
          <w:b/>
        </w:rPr>
        <w:t xml:space="preserve">Digital Forensics:</w:t>
      </w:r>
      <w:r>
        <w:t xml:space="preserve">Leveraging advanced data analytics tools available to modern Auditors in Zurich, the team analyzed 100% of transactional data rather than relying solely on sampling. This ensured a higher level of assurance regarding fraud detection and error identification.</w:t>
      </w:r>
    </w:p>
    <w:bookmarkEnd w:id="23"/>
    <w:bookmarkStart w:id="24" w:name="findings-and-strategic-insights"/>
    <w:p>
      <w:pPr>
        <w:pStyle w:val="Heading2"/>
      </w:pPr>
      <w:r>
        <w:t xml:space="preserve">5. Findings and Strategic Insights</w:t>
      </w:r>
    </w:p>
    <w:p>
      <w:pPr>
        <w:pStyle w:val="FirstParagraph"/>
      </w:pPr>
      <w:r>
        <w:t xml:space="preserve">During the fieldwork, the Auditor identified two critical areas for improvement. Firstly, there was an inconsistency in the capitalization of development costs for new software products. While this did not constitute fraud, it misrepresented the company’s asset valuation and future profitability potential. Secondly, related-party transactions within group entities lacked sufficient documentation to justify transfer pricing adjustments under Swiss tax law and international standards.</w:t>
      </w:r>
    </w:p>
    <w:p>
      <w:pPr>
        <w:pStyle w:val="BodyText"/>
      </w:pPr>
      <w:r>
        <w:t xml:space="preserve">Rather than simply flagging these issues, the Auditor provided remediation strategies. This collaborative approach is characteristic of high-quality auditing in</w:t>
      </w:r>
      <w:r>
        <w:t xml:space="preserve"> </w:t>
      </w:r>
      <w:r>
        <w:rPr>
          <w:bCs/>
          <w:b/>
        </w:rPr>
        <w:t xml:space="preserve">Switzerland Zurich</w:t>
      </w:r>
      <w:r>
        <w:t xml:space="preserve">, where long-term client relationships are valued over transactional interactions. The Auditor helped TechNova redesign its procurement approval workflows and implemented stricter guidelines for inter-company agreements.</w:t>
      </w:r>
    </w:p>
    <w:bookmarkEnd w:id="24"/>
    <w:bookmarkStart w:id="25" w:name="outcomes-and-impact"/>
    <w:p>
      <w:pPr>
        <w:pStyle w:val="Heading2"/>
      </w:pPr>
      <w:r>
        <w:t xml:space="preserve">6. Outcomes and Impact</w:t>
      </w:r>
    </w:p>
    <w:p>
      <w:pPr>
        <w:pStyle w:val="FirstParagraph"/>
      </w:pPr>
      <w:r>
        <w:t xml:space="preserve">The successful completion of the Audit had profound impacts on TechNova AG:</w:t>
      </w:r>
    </w:p>
    <w:p>
      <w:pPr>
        <w:numPr>
          <w:ilvl w:val="0"/>
          <w:numId w:val="1002"/>
        </w:numPr>
        <w:pStyle w:val="Compact"/>
      </w:pPr>
      <w:r>
        <w:rPr>
          <w:bCs/>
          <w:b/>
        </w:rPr>
        <w:t xml:space="preserve">IPO Success:</w:t>
      </w:r>
      <w:r>
        <w:t xml:space="preserve">The unqualified audit opinion provided by the Auditor served as a cornerstone for TechNova’s prospectus. Investors viewed the clean bill of health from a reputable Zurich-based Audit firm as validation of their due diligence.</w:t>
      </w:r>
    </w:p>
    <w:p>
      <w:pPr>
        <w:numPr>
          <w:ilvl w:val="0"/>
          <w:numId w:val="1002"/>
        </w:numPr>
        <w:pStyle w:val="Compact"/>
      </w:pPr>
      <w:r>
        <w:rPr>
          <w:bCs/>
          <w:b/>
        </w:rPr>
        <w:t xml:space="preserve">Enhanced Credibility:</w:t>
      </w:r>
      <w:r>
        <w:t xml:space="preserve">By aligning with the rigorous standards expected in</w:t>
      </w:r>
      <w:r>
        <w:t xml:space="preserve"> </w:t>
      </w:r>
      <w:r>
        <w:rPr>
          <w:bCs/>
          <w:b/>
        </w:rPr>
        <w:t xml:space="preserve">Switzerland Zurich</w:t>
      </w:r>
      <w:r>
        <w:t xml:space="preserve">, TechNova strengthened its brand reputation. Stakeholders gained confidence that the company’s financial reporting was not only compliant but also transparent and reliable.</w:t>
      </w:r>
    </w:p>
    <w:p>
      <w:pPr>
        <w:numPr>
          <w:ilvl w:val="0"/>
          <w:numId w:val="1002"/>
        </w:numPr>
        <w:pStyle w:val="Compact"/>
      </w:pPr>
      <w:r>
        <w:rPr>
          <w:bCs/>
          <w:b/>
        </w:rPr>
        <w:t xml:space="preserve">Risk Mitigation:</w:t>
      </w:r>
      <w:r>
        <w:t xml:space="preserve">The improvements in internal controls recommended by the Auditor reduced the likelihood of future financial errors, saving the company an estimated CHF 500,000 annually in potential restatement costs and legal fees.</w:t>
      </w:r>
    </w:p>
    <w:bookmarkEnd w:id="25"/>
    <w:bookmarkStart w:id="26" w:name="key-lessons-for-businesses"/>
    <w:p>
      <w:pPr>
        <w:pStyle w:val="Heading2"/>
      </w:pPr>
      <w:r>
        <w:t xml:space="preserve">7. Key Lessons for Businesses</w:t>
      </w:r>
    </w:p>
    <w:p>
      <w:pPr>
        <w:pStyle w:val="FirstParagraph"/>
      </w:pPr>
      <w:r>
        <w:t xml:space="preserve">This case study highlights several critical lessons for entities operating in or looking to establish presence in Switzerland Zurich:</w:t>
      </w:r>
    </w:p>
    <w:p>
      <w:pPr>
        <w:pStyle w:val="BodyText"/>
      </w:pPr>
      <w:r>
        <w:rPr>
          <w:iCs/>
          <w:i/>
          <w:bCs/>
          <w:b/>
        </w:rPr>
        <w:t xml:space="preserve">The Auditor as a Strategic Partner:</w:t>
      </w:r>
      <w:r>
        <w:t xml:space="preserve"> </w:t>
      </w:r>
      <w:r>
        <w:t xml:space="preserve">In the competitive landscape of Switzerland Zurich, the Auditor should not be viewed merely as a regulatory requirement but as a strategic partner who adds value through insights and risk management advice.</w:t>
      </w:r>
      <w:r>
        <w:br/>
      </w:r>
      <w:r>
        <w:br/>
      </w:r>
      <w:r>
        <w:rPr>
          <w:iCs/>
          <w:i/>
          <w:bCs/>
          <w:b/>
        </w:rPr>
        <w:t xml:space="preserve">Adaptation to Local Nuances:</w:t>
      </w:r>
      <w:r>
        <w:t xml:space="preserve">Audit firms must possess deep local knowledge of Swiss law while maintaining global competency in IFRS. The ability to bridge these two frameworks is essential for multinational companies based in Switzerland Zurich.</w:t>
      </w:r>
      <w:r>
        <w:br/>
      </w:r>
      <w:r>
        <w:br/>
      </w:r>
      <w:r>
        <w:rPr>
          <w:iCs/>
          <w:i/>
          <w:bCs/>
          <w:b/>
        </w:rPr>
        <w:t xml:space="preserve">Transparency Builds Trust:</w:t>
      </w:r>
      <w:r>
        <w:t xml:space="preserve">The Swiss market rewards transparency. A thorough Audit process, conducted by a credible Auditor, signals to the market that the company is committed to integrity, which is a key differentiator in attracting international investment.</w:t>
      </w:r>
    </w:p>
    <w:bookmarkEnd w:id="26"/>
    <w:bookmarkStart w:id="27" w:name="conclusion"/>
    <w:p>
      <w:pPr>
        <w:pStyle w:val="Heading2"/>
      </w:pPr>
      <w:r>
        <w:t xml:space="preserve">8. Conclusion</w:t>
      </w:r>
    </w:p>
    <w:p>
      <w:pPr>
        <w:pStyle w:val="FirstParagraph"/>
      </w:pPr>
      <w:r>
        <w:t xml:space="preserve">In conclusion, this case study demonstrates that the role of the Auditor in Switzerland Zurich is both complex and indispensable. For companies like TechNova AG, engaging with a qualified Auditor is not just about ticking boxes for regulatory compliance; it is about ensuring long-term viability, enhancing investor confidence, and upholding the prestigious reputation associated with doing business in</w:t>
      </w:r>
      <w:r>
        <w:t xml:space="preserve"> </w:t>
      </w:r>
      <w:r>
        <w:rPr>
          <w:bCs/>
          <w:b/>
        </w:rPr>
        <w:t xml:space="preserve">Switzerland Zurich</w:t>
      </w:r>
      <w:r>
        <w:t xml:space="preserve">. As global regulations continue to evolve, the demand for Auditors who offer more than just verification—offering strategic assurance and insight—will only grow. The synergy between a proactive Auditor and a forward-thinking company remains the gold standard for corporate success in this dynamic region.</w:t>
      </w:r>
    </w:p>
    <w:p>
      <w:pPr>
        <w:pStyle w:val="BodyText"/>
      </w:pPr>
      <w:r>
        <w:rPr>
          <w:iCs/>
          <w:i/>
        </w:rPr>
        <w:t xml:space="preserve">This document serves as an educational case study illustrating best practices in auditing within the specific context of Switzerland Zurich.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Auditor in Switzerland Zurich</dc:title>
  <dc:creator/>
  <dc:language>en</dc:language>
  <cp:keywords/>
  <dcterms:created xsi:type="dcterms:W3CDTF">2026-07-29T09:39:28Z</dcterms:created>
  <dcterms:modified xsi:type="dcterms:W3CDTF">2026-07-29T09:39:28Z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