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Turkey</w:t>
      </w:r>
      <w:r>
        <w:t xml:space="preserve"> </w:t>
      </w:r>
      <w:r>
        <w:t xml:space="preserve">Ankara</w:t>
      </w:r>
    </w:p>
    <w:bookmarkStart w:id="30" w:name="Xac0792eee85082ac3d65ac0dac739de914442c4"/>
    <w:p>
      <w:pPr>
        <w:pStyle w:val="Heading1"/>
      </w:pPr>
      <w:r>
        <w:t xml:space="preserve">Case Study: The Strategic Role of the Auditor in Turkey Ankara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Jurisdiction:</w:t>
      </w:r>
      <w:r>
        <w:t xml:space="preserve"> </w:t>
      </w:r>
      <w:r>
        <w:t xml:space="preserve">Republic of Turkey, Capital Region (Ankara)</w:t>
      </w:r>
    </w:p>
    <w:bookmarkStart w:id="20" w:name="executive-summary"/>
    <w:p>
      <w:pPr>
        <w:pStyle w:val="Heading2"/>
      </w:pPr>
      <w:r>
        <w:t xml:space="preserve">1. Executive Summary</w:t>
      </w:r>
    </w:p>
    <w:p>
      <w:pPr>
        <w:pStyle w:val="FirstParagraph"/>
      </w:pPr>
      <w:r>
        <w:t xml:space="preserve">In the rapidly evolving economic landscape of modern Turkey, the capital city of Ankara has emerged as a critical hub for government contracting, defense manufacturing, and technology startups. This case study explores the intricate responsibilities and strategic importance of an</w:t>
      </w:r>
      <w:r>
        <w:t xml:space="preserve"> </w:t>
      </w:r>
      <w:r>
        <w:rPr>
          <w:bCs/>
          <w:b/>
        </w:rPr>
        <w:t xml:space="preserve">Auditor</w:t>
      </w:r>
      <w:r>
        <w:t xml:space="preserve"> </w:t>
      </w:r>
      <w:r>
        <w:t xml:space="preserve">operating within this dynamic jurisdiction. The document details how financial compliance, regulatory adherence to Turkish Commercial Code (TCC) requirements, and international standards converge in Ankara. By analyzing a hypothetical but representative scenario involving a mid-sized defense technology firm located in the Sincan Organized Industrial Zone near Ankara, we illustrate why the</w:t>
      </w:r>
      <w:r>
        <w:t xml:space="preserve"> </w:t>
      </w:r>
      <w:r>
        <w:rPr>
          <w:bCs/>
          <w:b/>
        </w:rPr>
        <w:t xml:space="preserve">Auditor</w:t>
      </w:r>
      <w:r>
        <w:t xml:space="preserve"> </w:t>
      </w:r>
      <w:r>
        <w:t xml:space="preserve">is not merely a compliance officer but a strategic partner essential for corporate survival and growth in Turkey.</w:t>
      </w:r>
    </w:p>
    <w:bookmarkEnd w:id="20"/>
    <w:bookmarkStart w:id="21" w:name="background-the-context-of-turkey-ankara"/>
    <w:p>
      <w:pPr>
        <w:pStyle w:val="Heading2"/>
      </w:pPr>
      <w:r>
        <w:t xml:space="preserve">2. Background: The Context of Turkey Ankara</w:t>
      </w:r>
    </w:p>
    <w:p>
      <w:pPr>
        <w:pStyle w:val="FirstParagraph"/>
      </w:pPr>
      <w:r>
        <w:t xml:space="preserve">Ankara is distinct from Istanbul in its economic profile. While Istanbul serves as the financial and commercial heart of Turkey, Ankara functions as the administrative and political center. This distinction creates a unique environment for businesses, particularly those engaged in public sector contracts or heavy industry. For any entity operating in</w:t>
      </w:r>
      <w:r>
        <w:t xml:space="preserve"> </w:t>
      </w:r>
      <w:r>
        <w:rPr>
          <w:bCs/>
          <w:b/>
        </w:rPr>
        <w:t xml:space="preserve">Turkey Ankara</w:t>
      </w:r>
      <w:r>
        <w:t xml:space="preserve">, the regulatory scrutiny is intense due to proximity to government ministries and legislative bodies.</w:t>
      </w:r>
    </w:p>
    <w:p>
      <w:pPr>
        <w:pStyle w:val="BodyText"/>
      </w:pPr>
      <w:r>
        <w:t xml:space="preserve">The economic volatility experienced by Turkey over recent years, characterized by high inflation rates and currency fluctuations, has necessitated rigorous financial controls. In this context, the role of an external or internal</w:t>
      </w:r>
      <w:r>
        <w:t xml:space="preserve"> </w:t>
      </w:r>
      <w:r>
        <w:rPr>
          <w:bCs/>
          <w:b/>
        </w:rPr>
        <w:t xml:space="preserve">Auditor</w:t>
      </w:r>
      <w:r>
        <w:t xml:space="preserve"> </w:t>
      </w:r>
      <w:r>
        <w:t xml:space="preserve">in Ankara has shifted from periodic verification to continuous monitoring. Companies based in key industrial zones such as Etimesgut and Sincan must navigate a complex web of regulations including the Turkish Income Tax Law, Value Added Tax (VAT) regulations, and specific industry standards mandated by the Ministry of Industry and Technology.</w:t>
      </w:r>
    </w:p>
    <w:bookmarkEnd w:id="21"/>
    <w:bookmarkStart w:id="22" w:name="case-scenario-ankara-tech-dynamics"/>
    <w:p>
      <w:pPr>
        <w:pStyle w:val="Heading2"/>
      </w:pPr>
      <w:r>
        <w:t xml:space="preserve">3. Case Scenario: "Ankara Tech Dynamics"</w:t>
      </w:r>
    </w:p>
    <w:p>
      <w:pPr>
        <w:pStyle w:val="FirstParagraph"/>
      </w:pPr>
      <w:r>
        <w:t xml:space="preserve">The subject of this case study is "Ankara Tech Dynamics" (ATD), a fictional mid-sized enterprise specializing in cybersecurity hardware for government institutions. Headquartered in the heart of</w:t>
      </w:r>
      <w:r>
        <w:t xml:space="preserve"> </w:t>
      </w:r>
      <w:r>
        <w:rPr>
          <w:bCs/>
          <w:b/>
        </w:rPr>
        <w:t xml:space="preserve">Turkey Ankara</w:t>
      </w:r>
      <w:r>
        <w:t xml:space="preserve">, ATD recently secured a significant contract with a public institution, requiring them to undergo stringent financial and operational audits.</w:t>
      </w:r>
    </w:p>
    <w:p>
      <w:pPr>
        <w:pStyle w:val="BodyText"/>
      </w:pPr>
      <w:r>
        <w:t xml:space="preserve">As part of their contractual obligations and to secure additional venture capital funding from international investors, ATD engaged an independent</w:t>
      </w:r>
      <w:r>
        <w:t xml:space="preserve"> </w:t>
      </w:r>
      <w:r>
        <w:rPr>
          <w:bCs/>
          <w:b/>
        </w:rPr>
        <w:t xml:space="preserve">Auditor</w:t>
      </w:r>
      <w:r>
        <w:t xml:space="preserve">. The primary objective was not only to audit the financial statements for the fiscal year 2023 but also to assess internal controls regarding data privacy (KVKK - Personal Data Protection Law) and tax compliance.</w:t>
      </w:r>
    </w:p>
    <w:bookmarkEnd w:id="22"/>
    <w:bookmarkStart w:id="26" w:name="X496c3684c90c784fb4996632f3812cf335e0136"/>
    <w:p>
      <w:pPr>
        <w:pStyle w:val="Heading2"/>
      </w:pPr>
      <w:r>
        <w:t xml:space="preserve">4. The Role of the Auditor in Turkey Ankara: Key Challenges</w:t>
      </w:r>
    </w:p>
    <w:bookmarkStart w:id="23" w:name="navigating-complex-regulatory-frameworks"/>
    <w:p>
      <w:pPr>
        <w:pStyle w:val="Heading3"/>
      </w:pPr>
      <w:r>
        <w:t xml:space="preserve">4.1 Navigating Complex Regulatory Frameworks</w:t>
      </w:r>
    </w:p>
    <w:p>
      <w:pPr>
        <w:pStyle w:val="FirstParagraph"/>
      </w:pPr>
      <w:r>
        <w:t xml:space="preserve">The</w:t>
      </w:r>
      <w:r>
        <w:t xml:space="preserve"> </w:t>
      </w:r>
      <w:r>
        <w:rPr>
          <w:bCs/>
          <w:b/>
        </w:rPr>
        <w:t xml:space="preserve">Auditor</w:t>
      </w:r>
      <w:r>
        <w:t xml:space="preserve"> </w:t>
      </w:r>
      <w:r>
        <w:t xml:space="preserve">faced the challenge of interpreting local Turkish accounting standards (TFRS) alongside International Financial Reporting Standards (IFRS), which are increasingly adopted by companies seeking foreign investment. In</w:t>
      </w:r>
      <w:r>
        <w:t xml:space="preserve"> </w:t>
      </w:r>
      <w:r>
        <w:rPr>
          <w:bCs/>
          <w:b/>
        </w:rPr>
        <w:t xml:space="preserve">Turkey Ankara</w:t>
      </w:r>
      <w:r>
        <w:t xml:space="preserve">, where many clients are government-linked, the auditor had to ensure that revenue recognition policies complied with both public procurement laws and private sector accounting norms. This dual compliance requirement is a hallmark of auditing in the capital.</w:t>
      </w:r>
    </w:p>
    <w:bookmarkEnd w:id="23"/>
    <w:bookmarkStart w:id="24" w:name="managing-hyperinflation-adjustments"/>
    <w:p>
      <w:pPr>
        <w:pStyle w:val="Heading3"/>
      </w:pPr>
      <w:r>
        <w:t xml:space="preserve">4.2 Managing Hyperinflation Adjustments</w:t>
      </w:r>
    </w:p>
    <w:p>
      <w:pPr>
        <w:pStyle w:val="FirstParagraph"/>
      </w:pPr>
      <w:r>
        <w:t xml:space="preserve">Turkey has experienced periods of high inflation, requiring companies to adjust their financial statements for monetary fluctuation effects (TMS 29). The</w:t>
      </w:r>
      <w:r>
        <w:t xml:space="preserve"> </w:t>
      </w:r>
      <w:r>
        <w:rPr>
          <w:bCs/>
          <w:b/>
        </w:rPr>
        <w:t xml:space="preserve">Auditor</w:t>
      </w:r>
      <w:r>
        <w:t xml:space="preserve"> </w:t>
      </w:r>
      <w:r>
        <w:t xml:space="preserve">played a pivotal role in verifying the accuracy of these adjustments. Missteps in hyperinflation accounting can lead to significant discrepancies in reported earnings and tax liabilities. The auditor worked closely with ATD’s CFO to apply the correct consumer price indices (TÜFE) published by the Turkish Statistical Institute (TUIK), ensuring that financial reports reflected true economic reality.</w:t>
      </w:r>
    </w:p>
    <w:bookmarkEnd w:id="24"/>
    <w:bookmarkStart w:id="25" w:name="tax-compliance-and-transfer-pricing"/>
    <w:p>
      <w:pPr>
        <w:pStyle w:val="Heading3"/>
      </w:pPr>
      <w:r>
        <w:t xml:space="preserve">4.3 Tax Compliance and Transfer Pricing</w:t>
      </w:r>
    </w:p>
    <w:p>
      <w:pPr>
        <w:pStyle w:val="FirstParagraph"/>
      </w:pPr>
      <w:r>
        <w:t xml:space="preserve">Ankara is a hub for multinational corporations establishing regional headquarters. Consequently, transfer pricing regulations are strictly enforced by the Turkish Revenue Administration. The</w:t>
      </w:r>
      <w:r>
        <w:t xml:space="preserve"> </w:t>
      </w:r>
      <w:r>
        <w:rPr>
          <w:bCs/>
          <w:b/>
        </w:rPr>
        <w:t xml:space="preserve">Auditor</w:t>
      </w:r>
      <w:r>
        <w:t xml:space="preserve"> </w:t>
      </w:r>
      <w:r>
        <w:t xml:space="preserve">in this case study had to review inter-company transactions between ATD’s local branch and its international partners to ensure they were conducted at arm’s length. Failure to do so could result in severe penalties from the tax authorities, a risk that is particularly acute for businesses operating in the capital where regulatory oversight is most visible.</w:t>
      </w:r>
    </w:p>
    <w:bookmarkEnd w:id="25"/>
    <w:bookmarkEnd w:id="26"/>
    <w:bookmarkStart w:id="27" w:name="methodology-and-execution"/>
    <w:p>
      <w:pPr>
        <w:pStyle w:val="Heading2"/>
      </w:pPr>
      <w:r>
        <w:t xml:space="preserve">5. Methodology and Execution</w:t>
      </w:r>
    </w:p>
    <w:p>
      <w:pPr>
        <w:pStyle w:val="FirstParagraph"/>
      </w:pPr>
      <w:r>
        <w:t xml:space="preserve">The audit process followed a risk-based approach, tailored to the specific operational environment of</w:t>
      </w:r>
      <w:r>
        <w:t xml:space="preserve"> </w:t>
      </w:r>
      <w:r>
        <w:rPr>
          <w:bCs/>
          <w:b/>
        </w:rPr>
        <w:t xml:space="preserve">Turkey Ankara</w:t>
      </w:r>
      <w:r>
        <w:t xml:space="preserve">.</w:t>
      </w:r>
    </w:p>
    <w:p>
      <w:pPr>
        <w:pStyle w:val="BodyText"/>
      </w:pPr>
      <w:r>
        <w:rPr>
          <w:bCs/>
          <w:b/>
        </w:rPr>
        <w:t xml:space="preserve">Risk Assessment:</w:t>
      </w:r>
      <w:r>
        <w:t xml:space="preserve"> </w:t>
      </w:r>
      <w:r>
        <w:t xml:space="preserve">The</w:t>
      </w:r>
      <w:r>
        <w:t xml:space="preserve"> </w:t>
      </w:r>
      <w:r>
        <w:rPr>
          <w:bCs/>
          <w:b/>
        </w:rPr>
        <w:t xml:space="preserve">Auditor</w:t>
      </w:r>
      <w:r>
        <w:t xml:space="preserve"> </w:t>
      </w:r>
      <w:r>
        <w:t xml:space="preserve">identified key risks related to foreign currency exposure and government contract delays.</w:t>
      </w:r>
    </w:p>
    <w:p>
      <w:pPr>
        <w:pStyle w:val="FirstParagraph"/>
      </w:pPr>
      <w:r>
        <w:rPr>
          <w:bCs/>
          <w:b/>
        </w:rPr>
        <w:t xml:space="preserve">Internal Control Evaluation:</w:t>
      </w:r>
      <w:r>
        <w:t xml:space="preserve">A review of IT general controls was performed to ensure compliance with KVKK regulations, a critical area given ATD’s business model.</w:t>
      </w:r>
    </w:p>
    <w:p>
      <w:pPr>
        <w:pStyle w:val="BodyText"/>
      </w:pPr>
      <w:r>
        <w:rPr>
          <w:bCs/>
          <w:b/>
        </w:rPr>
        <w:t xml:space="preserve">Tax Review:</w:t>
      </w:r>
      <w:r>
        <w:t xml:space="preserve">Detailed examination of VAT returns and corporate tax provisions to identify any potential exposures.</w:t>
      </w:r>
    </w:p>
    <w:bookmarkEnd w:id="27"/>
    <w:bookmarkStart w:id="28" w:name="findings-and-recommendations"/>
    <w:p>
      <w:pPr>
        <w:pStyle w:val="Heading2"/>
      </w:pPr>
      <w:r>
        <w:t xml:space="preserve">6. Findings and Recommendations</w:t>
      </w:r>
    </w:p>
    <w:p>
      <w:pPr>
        <w:pStyle w:val="FirstParagraph"/>
      </w:pPr>
      <w:r>
        <w:t xml:space="preserve">The</w:t>
      </w:r>
      <w:r>
        <w:t xml:space="preserve"> </w:t>
      </w:r>
      <w:r>
        <w:rPr>
          <w:bCs/>
          <w:b/>
        </w:rPr>
        <w:t xml:space="preserve">Auditor</w:t>
      </w:r>
      <w:r>
        <w:t xml:space="preserve"> </w:t>
      </w:r>
      <w:r>
        <w:t xml:space="preserve">reported several critical findings:</w:t>
      </w:r>
    </w:p>
    <w:p>
      <w:pPr>
        <w:numPr>
          <w:ilvl w:val="0"/>
          <w:numId w:val="1002"/>
        </w:numPr>
        <w:pStyle w:val="Compact"/>
      </w:pPr>
      <w:r>
        <w:rPr>
          <w:bCs/>
          <w:b/>
        </w:rPr>
        <w:t xml:space="preserve">Inadequate Hedging Strategies:</w:t>
      </w:r>
      <w:r>
        <w:t xml:space="preserve">The company lacked sufficient instruments to hedge against Turkish Lira volatility, exposing the balance sheet to significant losses.</w:t>
      </w:r>
    </w:p>
    <w:p>
      <w:pPr>
        <w:numPr>
          <w:ilvl w:val="0"/>
          <w:numId w:val="1002"/>
        </w:numPr>
        <w:pStyle w:val="Compact"/>
      </w:pPr>
      <w:r>
        <w:rPr>
          <w:bCs/>
          <w:b/>
        </w:rPr>
        <w:t xml:space="preserve">Data Privacy Gaps:</w:t>
      </w:r>
      <w:r>
        <w:t xml:space="preserve">Minor deficiencies were found in data access logs, posing a compliance risk under KVKK.</w:t>
      </w:r>
    </w:p>
    <w:p>
      <w:pPr>
        <w:numPr>
          <w:ilvl w:val="0"/>
          <w:numId w:val="1002"/>
        </w:numPr>
        <w:pStyle w:val="Compact"/>
      </w:pPr>
      <w:r>
        <w:rPr>
          <w:bCs/>
          <w:b/>
        </w:rPr>
        <w:t xml:space="preserve">Inventory Valuation Issues:</w:t>
      </w:r>
      <w:r>
        <w:t xml:space="preserve">In some instances, inventory was not adjusted for inflation as required by TMS 29 during interim reporting periods.</w:t>
      </w:r>
    </w:p>
    <w:p>
      <w:pPr>
        <w:pStyle w:val="FirstParagraph"/>
      </w:pPr>
      <w:r>
        <w:t xml:space="preserve">The recommendations included implementing a formal treasury policy, upgrading IT security protocols to meet international standards, and conducting quarterly internal audits to ensure continuous compliance with hyperinflation accounting rules.</w:t>
      </w:r>
    </w:p>
    <w:bookmarkEnd w:id="28"/>
    <w:bookmarkStart w:id="29" w:name="conclusion"/>
    <w:p>
      <w:pPr>
        <w:pStyle w:val="Heading2"/>
      </w:pPr>
      <w:r>
        <w:t xml:space="preserve">7. Conclusion</w:t>
      </w:r>
    </w:p>
    <w:p>
      <w:pPr>
        <w:pStyle w:val="FirstParagraph"/>
      </w:pPr>
      <w:r>
        <w:t xml:space="preserve">This case study underscores the indispensable role of the</w:t>
      </w:r>
      <w:r>
        <w:t xml:space="preserve"> </w:t>
      </w:r>
      <w:r>
        <w:rPr>
          <w:bCs/>
          <w:b/>
        </w:rPr>
        <w:t xml:space="preserve">Auditor</w:t>
      </w:r>
      <w:r>
        <w:t xml:space="preserve"> </w:t>
      </w:r>
      <w:r>
        <w:t xml:space="preserve">in the business ecosystem of</w:t>
      </w:r>
      <w:r>
        <w:t xml:space="preserve"> </w:t>
      </w:r>
      <w:r>
        <w:rPr>
          <w:bCs/>
          <w:b/>
        </w:rPr>
        <w:t xml:space="preserve">Turkey Ankara</w:t>
      </w:r>
      <w:r>
        <w:t xml:space="preserve">. In a city where political influence, heavy industry, and public sector spending intersect, financial transparency is not just a regulatory requirement but a competitive advantage. The auditor acts as a guardian of integrity, ensuring that companies like Ankara Tech Dynamics can operate efficiently amidst economic turbulence. For businesses aiming to thrive in Turkey’s capital region, investing in high-quality audit services is essential for maintaining stakeholder trust and ensuring long-term sustainability.</w:t>
      </w:r>
    </w:p>
    <w:p>
      <w:pPr>
        <w:pStyle w:val="BodyText"/>
      </w:pPr>
      <w:r>
        <w:t xml:space="preserve">The integration of local regulatory knowledge with international best practices allows the</w:t>
      </w:r>
      <w:r>
        <w:t xml:space="preserve"> </w:t>
      </w:r>
      <w:r>
        <w:rPr>
          <w:bCs/>
          <w:b/>
        </w:rPr>
        <w:t xml:space="preserve">Auditor</w:t>
      </w:r>
      <w:r>
        <w:t xml:space="preserve"> </w:t>
      </w:r>
      <w:r>
        <w:t xml:space="preserve">to provide value beyond compliance, offering strategic insights that help companies navigate the unique challenges of operating in Ankara. As Turkey continues to integrate further into the global economy, the demand for sophisticated audit services in Ankara is expected to grow, reinforcing its status as a center for professional financial expertise.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Turkey Ankara</dc:title>
  <dc:creator/>
  <dc:language>en</dc:language>
  <cp:keywords/>
  <dcterms:created xsi:type="dcterms:W3CDTF">2026-07-29T07:25:57Z</dcterms:created>
  <dcterms:modified xsi:type="dcterms:W3CDTF">2026-07-29T07:25:57Z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