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the-audit-imperative-in-istanbul-turkey"/>
    <w:p>
      <w:pPr>
        <w:pStyle w:val="Heading1"/>
      </w:pPr>
      <w:r>
        <w:t xml:space="preserve">The Audit Imperative in Istanbul, Turkey</w:t>
      </w:r>
    </w:p>
    <w:p>
      <w:pPr>
        <w:pStyle w:val="FirstParagraph"/>
      </w:pPr>
      <w:r>
        <w:rPr>
          <w:bCs/>
          <w:b/>
        </w:rPr>
        <w:t xml:space="preserve">A Case Study on Navigating the Complexities of Financial and Regulatory Compliance for an Auditor Operating in Turkey Istanbul.</w:t>
      </w:r>
    </w:p>
    <w:bookmarkStart w:id="20" w:name="Xd1b32e014d01f7c4d2f98ef523a9a8652dae684"/>
    <w:p>
      <w:pPr>
        <w:pStyle w:val="Heading2"/>
      </w:pPr>
      <w:r>
        <w:t xml:space="preserve">The Economic Context and Strategic Importance of the Region</w:t>
      </w:r>
    </w:p>
    <w:p>
      <w:pPr>
        <w:pStyle w:val="FirstParagraph"/>
      </w:pPr>
      <w:r>
        <w:rPr>
          <w:bCs/>
          <w:b/>
        </w:rPr>
        <w:t xml:space="preserve">Situation:</w:t>
      </w:r>
      <w:r>
        <w:t xml:space="preserve"> </w:t>
      </w:r>
      <w:r>
        <w:t xml:space="preserve">The global economy has entered a phase characterized by fluctuating exchange rates, high inflationary pressures, and shifting geopolitical dynamics. For multinational corporations operating in emerging markets, the role of the</w:t>
      </w:r>
      <w:r>
        <w:t xml:space="preserve"> </w:t>
      </w:r>
      <w:r>
        <w:rPr>
          <w:bCs/>
          <w:b/>
        </w:rPr>
        <w:t xml:space="preserve">Auditor</w:t>
      </w:r>
      <w:r>
        <w:t xml:space="preserve"> </w:t>
      </w:r>
      <w:r>
        <w:t xml:space="preserve">has evolved from a mere compliance checker to a strategic advisor on risk management and operational integrity.</w:t>
      </w:r>
    </w:p>
    <w:p>
      <w:pPr>
        <w:pStyle w:val="BodyText"/>
      </w:pPr>
      <w:r>
        <w:t xml:space="preserve">Istanbul stands as one of the most vibrant economic hubs in Eurasia, serving as Turkey’s financial heart. As a city that bridges two continents, Istanbul is not just a geographic landmark but an economic powerhouse where East meets West. This unique position attracts thousands of multinational enterprises (MNEs), local conglomerates, and startups alike. However, this dynamic environment presents significant challenges for any professional tasked with ensuring transparency and accuracy in financial reporting.</w:t>
      </w:r>
    </w:p>
    <w:p>
      <w:pPr>
        <w:pStyle w:val="BodyText"/>
      </w:pPr>
      <w:r>
        <w:t xml:space="preserve">The primary objective of this case study is to explore the multifaceted role of the</w:t>
      </w:r>
      <w:r>
        <w:t xml:space="preserve"> </w:t>
      </w:r>
      <w:r>
        <w:rPr>
          <w:bCs/>
          <w:b/>
        </w:rPr>
        <w:t xml:space="preserve">Auditor</w:t>
      </w:r>
      <w:r>
        <w:t xml:space="preserve"> </w:t>
      </w:r>
      <w:r>
        <w:t xml:space="preserve">within the specific context of Turkey Istanbul. It examines how an auditor must navigate a labyrinthine regulatory framework, manage high-inflation accounting issues, and adhere to international standards while respecting local business cultures.</w:t>
      </w:r>
    </w:p>
    <w:bookmarkEnd w:id="20"/>
    <w:bookmarkStart w:id="23" w:name="Xb7fe53a245f138d03c4e1101dd09e054bc84904"/>
    <w:p>
      <w:pPr>
        <w:pStyle w:val="Heading2"/>
      </w:pPr>
      <w:r>
        <w:t xml:space="preserve">The Regulatory Landscape in Turkey Istanbul</w:t>
      </w:r>
    </w:p>
    <w:p>
      <w:pPr>
        <w:pStyle w:val="FirstParagraph"/>
      </w:pPr>
      <w:r>
        <w:t xml:space="preserve">The foundation of auditing in any region is built upon its legal and regulatory structures. In the case of an auditor operating in Turkey Istanbul, this landscape is dense and rapidly evolving. The Turkish Capital Markets Board (SPK) sets rigorous disclosure requirements for public companies listed on Borsa Istanbul.</w:t>
      </w:r>
    </w:p>
    <w:bookmarkStart w:id="21" w:name="X2c9b0b186ad447fe356e2d918c7e21ea7f58654"/>
    <w:p>
      <w:pPr>
        <w:pStyle w:val="Heading3"/>
      </w:pPr>
      <w:r>
        <w:t xml:space="preserve">1. Alignment with International Financial Reporting Standards (IFRS)</w:t>
      </w:r>
    </w:p>
    <w:p>
      <w:pPr>
        <w:pStyle w:val="FirstParagraph"/>
      </w:pPr>
      <w:r>
        <w:t xml:space="preserve">A crucial aspect of the auditor’s job in Turkey Istanbul is ensuring that financial statements conform to IFRS, which are adopted in Turkey. This requires the auditor to possess not only technical accounting knowledge but also a deep understanding of how local interpretations of IFRS may differ from global norms. For instance, revenue recognition and lease accounting have seen significant changes under new standards, requiring auditors to perform detailed testing on contracts that span multiple jurisdictions.</w:t>
      </w:r>
    </w:p>
    <w:bookmarkEnd w:id="21"/>
    <w:bookmarkStart w:id="22" w:name="compliance-with-turkish-commercial-law"/>
    <w:p>
      <w:pPr>
        <w:pStyle w:val="Heading3"/>
      </w:pPr>
      <w:r>
        <w:t xml:space="preserve">2. Compliance with Turkish Commercial Law</w:t>
      </w:r>
    </w:p>
    <w:p>
      <w:pPr>
        <w:pStyle w:val="FirstParagraph"/>
      </w:pPr>
      <w:r>
        <w:t xml:space="preserve">Beyond IFRS, the auditor must ensure strict compliance with the Turkish Commercial Code (TCC). This involves verifying corporate governance structures, shareholder rights, and statutory reserve calculations. In Turkey Istanbul, where family-owned conglomerates often play a dominant role in the market, auditors frequently encounter complex ownership structures that require meticulous due diligence to prevent conflicts of interest and ensure transparent reporting.</w:t>
      </w:r>
    </w:p>
    <w:bookmarkEnd w:id="22"/>
    <w:bookmarkEnd w:id="23"/>
    <w:bookmarkStart w:id="24" w:name="X04e3737ee503356f21a263561e62446bb3964e0"/>
    <w:p>
      <w:pPr>
        <w:pStyle w:val="Heading2"/>
      </w:pPr>
      <w:r>
        <w:t xml:space="preserve">The Challenge of Hyperinflation Accounting</w:t>
      </w:r>
    </w:p>
    <w:p>
      <w:pPr>
        <w:pStyle w:val="FirstParagraph"/>
      </w:pPr>
      <w:r>
        <w:rPr>
          <w:bCs/>
          <w:b/>
        </w:rPr>
        <w:t xml:space="preserve">Challenge:</w:t>
      </w:r>
      <w:r>
        <w:t xml:space="preserve"> </w:t>
      </w:r>
      <w:r>
        <w:t xml:space="preserve">Turkey has experienced periods of significant inflation, leading to the application of "Tunçel Method" (Turkish inflation accounting). This poses a unique challenge for the auditor.</w:t>
      </w:r>
    </w:p>
    <w:p>
      <w:pPr>
        <w:pStyle w:val="BodyText"/>
      </w:pPr>
      <w:r>
        <w:t xml:space="preserve">Inflation is a persistent macroeconomic reality in Turkey. The Central Bank of the Republic of Turkey occasionally declares high-inflation environments, triggering specific accounting treatments under Turkish Accounting Standards (TAS). For the auditor, this means recalculating historical financial data to reflect current purchasing power. This process is not merely mathematical; it requires professional judgment regarding which assets and liabilities are monetary versus non-monetary.</w:t>
      </w:r>
    </w:p>
    <w:p>
      <w:pPr>
        <w:pStyle w:val="BodyText"/>
      </w:pPr>
      <w:r>
        <w:t xml:space="preserve">An auditor must carefully assess whether the entity’s internal controls are robust enough to handle these complex adjustments without error. A single misclassification of a monetary item can lead to significant distortions in the reported profit or loss, potentially misleading stakeholders who rely on the audit report for decision-making. In Turkey Istanbul, where liquidity is often tight due to currency volatility, accurate inflation accounting is critical for maintaining investor confidence.</w:t>
      </w:r>
    </w:p>
    <w:bookmarkEnd w:id="24"/>
    <w:bookmarkStart w:id="26" w:name="ethical-considerations-and-independence"/>
    <w:p>
      <w:pPr>
        <w:pStyle w:val="Heading2"/>
      </w:pPr>
      <w:r>
        <w:t xml:space="preserve">Ethical Considerations and Independence</w:t>
      </w:r>
    </w:p>
    <w:p>
      <w:pPr>
        <w:pStyle w:val="FirstParagraph"/>
      </w:pPr>
      <w:r>
        <w:t xml:space="preserve">The independence of the auditor is paramount. In any market, but particularly in close-knit business communities like Turkey Istanbul, personal and professional relationships can blur ethical boundaries. The auditor must maintain strict objectivity when dealing with related-party transactions, which are common in Turkish business groups.</w:t>
      </w:r>
    </w:p>
    <w:bookmarkStart w:id="25" w:name="combating-fraud-and-corruption"/>
    <w:p>
      <w:pPr>
        <w:pStyle w:val="Heading3"/>
      </w:pPr>
      <w:r>
        <w:t xml:space="preserve">Combating Fraud and Corruption</w:t>
      </w:r>
    </w:p>
    <w:p>
      <w:pPr>
        <w:pStyle w:val="FirstParagraph"/>
      </w:pPr>
      <w:r>
        <w:t xml:space="preserve">The auditor plays a frontline defense against financial misstatement due to fraud. In the context of Turkey Istanbul, where cross-border trade is immense, there is an increased risk of money laundering and transfer pricing manipulation. Auditors must employ advanced data analytics tools to detect anomalies in transaction patterns between local entities and their foreign subsidiaries.</w:t>
      </w:r>
    </w:p>
    <w:p>
      <w:pPr>
        <w:pStyle w:val="BodyText"/>
      </w:pPr>
      <w:r>
        <w:t xml:space="preserve">Furthermore, the auditor must be vigilant against bribery and corruption risks. The implementation of robust anti-fraud controls is not just a regulatory requirement but a moral obligation. The auditor’s report serves as a shield for public interest, ensuring that the financial markets in Turkey Istanbul remain trustworthy and attractive to foreign direct investment.</w:t>
      </w:r>
    </w:p>
    <w:bookmarkEnd w:id="25"/>
    <w:bookmarkEnd w:id="26"/>
    <w:bookmarkStart w:id="27" w:name="Xdcfadaaf999e18e2b8cd04166a76cbe676929ea"/>
    <w:p>
      <w:pPr>
        <w:pStyle w:val="Heading2"/>
      </w:pPr>
      <w:r>
        <w:t xml:space="preserve">The Role of Technology in Modern Auditing</w:t>
      </w:r>
    </w:p>
    <w:p>
      <w:pPr>
        <w:pStyle w:val="FirstParagraph"/>
      </w:pPr>
      <w:r>
        <w:t xml:space="preserve">The traditional manual audit is becoming obsolete. In Turkey Istanbul, forward-thinking audit firms are leveraging Artificial Intelligence (AI) and Robotic Process Automation (RPA). These technologies allow the auditor to analyze 100% of transactions rather than relying on sampling, thereby enhancing the quality of evidence gathered.</w:t>
      </w:r>
    </w:p>
    <w:p>
      <w:pPr>
        <w:pStyle w:val="BodyText"/>
      </w:pPr>
      <w:r>
        <w:t xml:space="preserve">For example, AI-driven tools can scan thousands of invoices in Turkish and English to verify compliance with tax regulations and VAT (KDV) rules. This efficiency allows the auditor to focus more on high-risk areas and strategic advisory roles, adding value beyond simple compliance checking.</w:t>
      </w:r>
    </w:p>
    <w:bookmarkEnd w:id="27"/>
    <w:bookmarkStart w:id="28" w:name="conclusion"/>
    <w:p>
      <w:pPr>
        <w:pStyle w:val="Heading2"/>
      </w:pPr>
      <w:r>
        <w:t xml:space="preserve">Conclusion</w:t>
      </w:r>
    </w:p>
    <w:p>
      <w:pPr>
        <w:pStyle w:val="FirstParagraph"/>
      </w:pPr>
      <w:r>
        <w:t xml:space="preserve">The role of the auditor in Turkey Istanbul is complex, demanding a blend of technical expertise, ethical rigor, and cultural intelligence. As the economic landscape continues to shift due to inflationary pressures and regulatory updates, auditors must remain agile and informed.</w:t>
      </w:r>
    </w:p>
    <w:p>
      <w:pPr>
        <w:pStyle w:val="BodyText"/>
      </w:pPr>
      <w:r>
        <w:t xml:space="preserve">This case study highlights that successful auditing in this region requires more than just ticking boxes; it necessitates a proactive approach to risk management. For businesses operating in Turkey Istanbul, partnering with an auditor who understands the nuances of local laws and global standards is essential for long-term stability and growth. The integrity of the financial markets depends on the diligence and independence of these professionals.</w:t>
      </w:r>
    </w:p>
    <w:bookmarkEnd w:id="28"/>
    <w:bookmarkStart w:id="29" w:name="recommendations-for-stakeholders"/>
    <w:p>
      <w:pPr>
        <w:pStyle w:val="Heading2"/>
      </w:pPr>
      <w:r>
        <w:t xml:space="preserve">Recommendations for Stakeholders</w:t>
      </w:r>
    </w:p>
    <w:p>
      <w:pPr>
        <w:numPr>
          <w:ilvl w:val="0"/>
          <w:numId w:val="1001"/>
        </w:numPr>
        <w:pStyle w:val="Compact"/>
      </w:pPr>
      <w:r>
        <w:rPr>
          <w:bCs/>
          <w:b/>
        </w:rPr>
        <w:t xml:space="preserve">Audit Firms:</w:t>
      </w:r>
      <w:r>
        <w:t xml:space="preserve"> </w:t>
      </w:r>
      <w:r>
        <w:t xml:space="preserve">Invest heavily in continuous professional education regarding Turkish inflation accounting standards and IFRS updates.</w:t>
      </w:r>
    </w:p>
    <w:p>
      <w:pPr>
        <w:numPr>
          <w:ilvl w:val="0"/>
          <w:numId w:val="1001"/>
        </w:numPr>
        <w:pStyle w:val="Compact"/>
      </w:pPr>
      <w:r>
        <w:rPr>
          <w:bCs/>
          <w:b/>
        </w:rPr>
        <w:t xml:space="preserve">Clients:</w:t>
      </w:r>
      <w:r>
        <w:t xml:space="preserve">Foster an open-door policy with auditors to ensure full transparency, especially regarding related-party transactions.</w:t>
      </w:r>
    </w:p>
    <w:p>
      <w:pPr>
        <w:numPr>
          <w:ilvl w:val="0"/>
          <w:numId w:val="1001"/>
        </w:numPr>
        <w:pStyle w:val="Compact"/>
      </w:pPr>
      <w:r>
        <w:t xml:space="preserve">Regulators: Continue to harmonize local regulations with international best practices to facilitate smoother cross-border audits.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2026-07-29T08:24:59Z</dcterms:created>
  <dcterms:modified xsi:type="dcterms:W3CDTF">2026-07-29T08:24:59Z</dcterms:modified>
</cp:coreProperties>
</file>

<file path=docProps/custom.xml><?xml version="1.0" encoding="utf-8"?>
<Properties xmlns="http://schemas.openxmlformats.org/officeDocument/2006/custom-properties" xmlns:vt="http://schemas.openxmlformats.org/officeDocument/2006/docPropsVTypes"/>
</file>