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0" w:name="X4db7b9ca392e79d7400c92f6df50ef68d989b1d"/>
    <w:p>
      <w:pPr>
        <w:pStyle w:val="Heading1"/>
      </w:pPr>
      <w:r>
        <w:t xml:space="preserve">Baker in Germany Frankfurt: A Strategic Case Study on Localized Excellence and Operational Resilience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w:t>
      </w:r>
      <w:r>
        <w:br/>
      </w:r>
      <w:r>
        <w:rPr>
          <w:bCs/>
          <w:b/>
        </w:rPr>
        <w:t xml:space="preserve">Subject:</w:t>
      </w:r>
      <w:r>
        <w:t xml:space="preserve"> </w:t>
      </w:r>
      <w:r>
        <w:t xml:space="preserve">Operational Strategy, Market Penetration, and Cultural Integration</w:t>
      </w:r>
    </w:p>
    <w:bookmarkStart w:id="20" w:name="executive-summary"/>
    <w:p>
      <w:pPr>
        <w:pStyle w:val="Heading2"/>
      </w:pPr>
      <w:r>
        <w:t xml:space="preserve">Executive Summary</w:t>
      </w:r>
    </w:p>
    <w:p>
      <w:pPr>
        <w:pStyle w:val="FirstParagraph"/>
      </w:pPr>
      <w:r>
        <w:t xml:space="preserve">This case study examines the strategic deployment and operational success of Baker within the dynamic economic landscape of Germany Frankfurt. As a global leader in industrial equipment and services, Baker faced the unique challenge of establishing a robust footprint in one of Europe’s most competitive financial and logistical hubs. The primary objective was to leverage Frankfurt’s status as a gateway to Central Europe while adhering to stringent German engineering standards and local market expectations. This document outlines the challenges encountered, the strategic adaptations made regarding</w:t>
      </w:r>
      <w:r>
        <w:t xml:space="preserve"> </w:t>
      </w:r>
      <w:r>
        <w:rPr>
          <w:bCs/>
          <w:b/>
        </w:rPr>
        <w:t xml:space="preserve">Baker</w:t>
      </w:r>
      <w:r>
        <w:t xml:space="preserve">’s service model, and the tangible results achieved in</w:t>
      </w:r>
      <w:r>
        <w:t xml:space="preserve"> </w:t>
      </w:r>
      <w:r>
        <w:rPr>
          <w:bCs/>
          <w:b/>
        </w:rPr>
        <w:t xml:space="preserve">Germany Frankfurt</w:t>
      </w:r>
      <w:r>
        <w:t xml:space="preserve">. It serves as a blueprint for how international industrial entities can successfully integrate into highly regulated, efficiency-driven markets.</w:t>
      </w:r>
    </w:p>
    <w:bookmarkEnd w:id="20"/>
    <w:bookmarkStart w:id="21" w:name="the-challenge-entering-a-mature-market"/>
    <w:p>
      <w:pPr>
        <w:pStyle w:val="Heading2"/>
      </w:pPr>
      <w:r>
        <w:t xml:space="preserve">The Challenge: Entering a Mature Market</w:t>
      </w:r>
    </w:p>
    <w:p>
      <w:pPr>
        <w:pStyle w:val="FirstParagraph"/>
      </w:pPr>
      <w:r>
        <w:rPr>
          <w:bCs/>
          <w:b/>
        </w:rPr>
        <w:t xml:space="preserve">Germany Frankfurt</w:t>
      </w:r>
      <w:r>
        <w:t xml:space="preserve"> </w:t>
      </w:r>
      <w:r>
        <w:t xml:space="preserve">presents a distinct set of operational hurdles. As the financial capital of Germany and home to the European Central Bank, the city is characterized by high standards for precision, sustainability, and regulatory compliance. For Baker, entering this market was not merely about selling products; it was about demonstrating value in a sector where downtime is measured in millions of euros.</w:t>
      </w:r>
    </w:p>
    <w:p>
      <w:pPr>
        <w:pStyle w:val="BodyText"/>
      </w:pPr>
      <w:r>
        <w:rPr>
          <w:bCs/>
          <w:b/>
        </w:rPr>
        <w:t xml:space="preserve">Key Challenge:</w:t>
      </w:r>
      <w:r>
        <w:t xml:space="preserve"> </w:t>
      </w:r>
      <w:r>
        <w:t xml:space="preserve">The local market in Germany Frankfurt is dominated by established regional players who pride themselves on decades of legacy and deep-rooted relationships. Baker had to disrupt this status quo not through price competition, but through superior technological integration and rapid response capabilities.</w:t>
      </w:r>
    </w:p>
    <w:p>
      <w:pPr>
        <w:pStyle w:val="BodyText"/>
      </w:pPr>
      <w:r>
        <w:t xml:space="preserve">Furthermore, the cultural expectation in</w:t>
      </w:r>
      <w:r>
        <w:t xml:space="preserve"> </w:t>
      </w:r>
      <w:r>
        <w:rPr>
          <w:bCs/>
          <w:b/>
        </w:rPr>
        <w:t xml:space="preserve">Germany Frankfurt</w:t>
      </w:r>
      <w:r>
        <w:t xml:space="preserve"> </w:t>
      </w:r>
      <w:r>
        <w:t xml:space="preserve">regarding technical documentation, safety protocols, and environmental impact is exceptionally high. Baker’s existing global frameworks needed significant localization to ensure that every aspect of their service delivery aligned with local German regulations (DIN standards) and customer expectations.</w:t>
      </w:r>
    </w:p>
    <w:bookmarkEnd w:id="21"/>
    <w:bookmarkStart w:id="25" w:name="Xce9e3017a460a1c63d84d70ab02507d8e9f9b8c"/>
    <w:p>
      <w:pPr>
        <w:pStyle w:val="Heading2"/>
      </w:pPr>
      <w:r>
        <w:t xml:space="preserve">The Strategic Response: Localization of Baker Services</w:t>
      </w:r>
    </w:p>
    <w:p>
      <w:pPr>
        <w:pStyle w:val="FirstParagraph"/>
      </w:pPr>
      <w:r>
        <w:t xml:space="preserve">To address these challenges, Baker implemented a three-pillar strategy focused on Localization, Technology Integration, and Talent Acquisition within</w:t>
      </w:r>
      <w:r>
        <w:t xml:space="preserve"> </w:t>
      </w:r>
      <w:r>
        <w:rPr>
          <w:bCs/>
          <w:b/>
        </w:rPr>
        <w:t xml:space="preserve">Germany Frankfurt</w:t>
      </w:r>
      <w:r>
        <w:t xml:space="preserve">.</w:t>
      </w:r>
    </w:p>
    <w:bookmarkStart w:id="22" w:name="hyper-local-service-infrastructure"/>
    <w:p>
      <w:pPr>
        <w:pStyle w:val="Heading3"/>
      </w:pPr>
      <w:r>
        <w:t xml:space="preserve">1. Hyper-Local Service Infrastructure</w:t>
      </w:r>
    </w:p>
    <w:p>
      <w:pPr>
        <w:pStyle w:val="FirstParagraph"/>
      </w:pPr>
      <w:r>
        <w:t xml:space="preserve">Baker recognized that speed is critical in the industrial sectors prevalent in Frankfurt. Consequently, they established a dedicated service center in the heart of the city’s industrial zone. This was not just a warehouse, but a fully equipped workshop and engineering hub. By situating Baker physically within</w:t>
      </w:r>
      <w:r>
        <w:t xml:space="preserve"> </w:t>
      </w:r>
      <w:r>
        <w:rPr>
          <w:bCs/>
          <w:b/>
        </w:rPr>
        <w:t xml:space="preserve">Germany Frankfurt</w:t>
      </w:r>
      <w:r>
        <w:t xml:space="preserve">, they reduced mean-time-to-repair (MTTR) by 40%. The strategy involved hiring local engineers who understood not only the technical specifications of Baker’s equipment but also the nuanced communication styles and business etiquette of German clients.</w:t>
      </w:r>
    </w:p>
    <w:bookmarkEnd w:id="22"/>
    <w:bookmarkStart w:id="23" w:name="X0c0a24ed45fa4173f7ceb5e18e68d01a0967462"/>
    <w:p>
      <w:pPr>
        <w:pStyle w:val="Heading3"/>
      </w:pPr>
      <w:r>
        <w:t xml:space="preserve">2. Digital Integration and Predictive Maintenance</w:t>
      </w:r>
    </w:p>
    <w:p>
      <w:pPr>
        <w:pStyle w:val="FirstParagraph"/>
      </w:pPr>
      <w:r>
        <w:t xml:space="preserve">Innovation was central to Baker’s pitch in</w:t>
      </w:r>
      <w:r>
        <w:t xml:space="preserve"> </w:t>
      </w:r>
      <w:r>
        <w:rPr>
          <w:bCs/>
          <w:b/>
        </w:rPr>
        <w:t xml:space="preserve">Germany Frankfurt</w:t>
      </w:r>
      <w:r>
        <w:t xml:space="preserve">. The company deployed its advanced digital twin technology, allowing clients to monitor equipment health in real-time. This resonated deeply with the tech-savvy industries based in Frankfurt’s financial district and surrounding industrial parks. By offering predictive maintenance solutions, Baker shifted the value proposition from reactive repairs to proactive asset management, a shift that aligns perfectly with the lean manufacturing principles valued by German industry.</w:t>
      </w:r>
    </w:p>
    <w:bookmarkEnd w:id="23"/>
    <w:bookmarkStart w:id="24" w:name="sustainability-and-compliance"/>
    <w:p>
      <w:pPr>
        <w:pStyle w:val="Heading3"/>
      </w:pPr>
      <w:r>
        <w:t xml:space="preserve">3. Sustainability and Compliance</w:t>
      </w:r>
    </w:p>
    <w:p>
      <w:pPr>
        <w:pStyle w:val="FirstParagraph"/>
      </w:pPr>
      <w:r>
        <w:t xml:space="preserve">Sustainability is a non-negotiable topic in modern Germany. Baker tailored its operations in</w:t>
      </w:r>
      <w:r>
        <w:t xml:space="preserve"> </w:t>
      </w:r>
      <w:r>
        <w:rPr>
          <w:bCs/>
          <w:b/>
        </w:rPr>
        <w:t xml:space="preserve">Germany Frankfurt</w:t>
      </w:r>
      <w:r>
        <w:t xml:space="preserve"> </w:t>
      </w:r>
      <w:r>
        <w:t xml:space="preserve">to highlight energy-efficient solutions and low-emission service vehicles. The company actively marketed its commitment to the German Federal Environmental Foundation’s goals, ensuring that their brand image was synonymous with eco-conscious industrial progress.</w:t>
      </w:r>
    </w:p>
    <w:bookmarkEnd w:id="24"/>
    <w:bookmarkEnd w:id="25"/>
    <w:bookmarkStart w:id="26" w:name="implementation-and-execution"/>
    <w:p>
      <w:pPr>
        <w:pStyle w:val="Heading2"/>
      </w:pPr>
      <w:r>
        <w:t xml:space="preserve">Implementation and Execution</w:t>
      </w:r>
    </w:p>
    <w:p>
      <w:pPr>
        <w:pStyle w:val="FirstParagraph"/>
      </w:pPr>
      <w:r>
        <w:t xml:space="preserve">The execution phase required rigorous attention to detail. Baker conducted extensive stakeholder meetings with key industrial players in</w:t>
      </w:r>
      <w:r>
        <w:t xml:space="preserve"> </w:t>
      </w:r>
      <w:r>
        <w:rPr>
          <w:bCs/>
          <w:b/>
        </w:rPr>
        <w:t xml:space="preserve">Germany Frankfurt</w:t>
      </w:r>
      <w:r>
        <w:t xml:space="preserve">, including logistics firms, pharmaceutical manufacturers, and energy providers. These initial engagements were crucial for building trust. Unlike aggressive sales tactics common in other regions, Baker adopted a consultative approach.</w:t>
      </w:r>
    </w:p>
    <w:p>
      <w:pPr>
        <w:pStyle w:val="BodyText"/>
      </w:pPr>
      <w:r>
        <w:t xml:space="preserve">The team focused on "showing rather than telling." Pilot programs were launched with three major clients in</w:t>
      </w:r>
      <w:r>
        <w:t xml:space="preserve"> </w:t>
      </w:r>
      <w:r>
        <w:rPr>
          <w:bCs/>
          <w:b/>
        </w:rPr>
        <w:t xml:space="preserve">Germany Frankfurt</w:t>
      </w:r>
      <w:r>
        <w:t xml:space="preserve">. These pilots demonstrated Baker’s ability to integrate seamlessly into existing workflows without disrupting production schedules. The training provided by Baker was conducted entirely in German, utilizing high-precision technical manuals that exceeded local requirements.</w:t>
      </w:r>
    </w:p>
    <w:bookmarkEnd w:id="26"/>
    <w:bookmarkStart w:id="27" w:name="results-and-impact"/>
    <w:p>
      <w:pPr>
        <w:pStyle w:val="Heading2"/>
      </w:pPr>
      <w:r>
        <w:t xml:space="preserve">Results and Impact</w:t>
      </w:r>
    </w:p>
    <w:p>
      <w:pPr>
        <w:pStyle w:val="FirstParagraph"/>
      </w:pPr>
      <w:r>
        <w:t xml:space="preserve">The results of Baker’s strategic deployment in</w:t>
      </w:r>
      <w:r>
        <w:t xml:space="preserve"> </w:t>
      </w:r>
      <w:r>
        <w:rPr>
          <w:bCs/>
          <w:b/>
        </w:rPr>
        <w:t xml:space="preserve">Germany Frankfurt</w:t>
      </w:r>
      <w:r>
        <w:t xml:space="preserve"> </w:t>
      </w:r>
      <w:r>
        <w:t xml:space="preserve">have been overwhelmingly positive, validating the localized approach.</w:t>
      </w:r>
    </w:p>
    <w:p>
      <w:pPr>
        <w:numPr>
          <w:ilvl w:val="0"/>
          <w:numId w:val="1001"/>
        </w:numPr>
        <w:pStyle w:val="Compact"/>
      </w:pPr>
      <w:r>
        <w:rPr>
          <w:bCs/>
          <w:b/>
        </w:rPr>
        <w:t xml:space="preserve">Market Share Growth:</w:t>
      </w:r>
    </w:p>
    <w:p>
      <w:pPr>
        <w:numPr>
          <w:ilvl w:val="0"/>
          <w:numId w:val="1001"/>
        </w:numPr>
        <w:pStyle w:val="Compact"/>
      </w:pPr>
      <w:r>
        <w:rPr>
          <w:bCs/>
          <w:b/>
        </w:rPr>
        <w:t xml:space="preserve">Customer Retention:</w:t>
      </w:r>
    </w:p>
    <w:p>
      <w:pPr>
        <w:numPr>
          <w:ilvl w:val="0"/>
          <w:numId w:val="1001"/>
        </w:numPr>
        <w:pStyle w:val="Compact"/>
      </w:pPr>
      <w:r>
        <w:rPr>
          <w:bCs/>
          <w:b/>
        </w:rPr>
        <w:t xml:space="preserve">Economic Impact:</w:t>
      </w:r>
    </w:p>
    <w:p>
      <w:pPr>
        <w:pStyle w:val="FirstParagraph"/>
      </w:pPr>
      <w:r>
        <w:rPr>
          <w:bCs/>
          <w:b/>
        </w:rPr>
        <w:t xml:space="preserve">Critical Success Factor:</w:t>
      </w:r>
      <w:r>
        <w:br/>
      </w:r>
      <w:r>
        <w:t xml:space="preserve">The success of Baker in this region is directly tied to their respect for the local culture. By embedding themselves into the fabric of</w:t>
      </w:r>
      <w:r>
        <w:t xml:space="preserve"> </w:t>
      </w:r>
      <w:r>
        <w:rPr>
          <w:bCs/>
          <w:b/>
        </w:rPr>
        <w:t xml:space="preserve">Germany Frankfurt</w:t>
      </w:r>
      <w:r>
        <w:t xml:space="preserve">, they transformed from an external vendor into an integral part of the local industrial ecosystem.</w:t>
      </w:r>
    </w:p>
    <w:bookmarkEnd w:id="27"/>
    <w:bookmarkStart w:id="28" w:name="lessons-learned-and-future-outlook"/>
    <w:p>
      <w:pPr>
        <w:pStyle w:val="Heading2"/>
      </w:pPr>
      <w:r>
        <w:t xml:space="preserve">Lessons Learned and Future Outlook</w:t>
      </w:r>
    </w:p>
    <w:p>
      <w:pPr>
        <w:pStyle w:val="FirstParagraph"/>
      </w:pPr>
      <w:r>
        <w:t xml:space="preserve">This case study offers several key takeaways for other international companies looking to enter mature European markets:</w:t>
      </w:r>
    </w:p>
    <w:p>
      <w:pPr>
        <w:numPr>
          <w:ilvl w:val="0"/>
          <w:numId w:val="1002"/>
        </w:numPr>
        <w:pStyle w:val="Compact"/>
      </w:pPr>
      <w:r>
        <w:rPr>
          <w:bCs/>
          <w:b/>
        </w:rPr>
        <w:t xml:space="preserve">Prioritize Local Expertise:</w:t>
      </w:r>
    </w:p>
    <w:p>
      <w:pPr>
        <w:numPr>
          <w:ilvl w:val="0"/>
          <w:numId w:val="1002"/>
        </w:numPr>
        <w:pStyle w:val="Compact"/>
      </w:pPr>
      <w:r>
        <w:rPr>
          <w:bCs/>
          <w:b/>
        </w:rPr>
        <w:t xml:space="preserve">Sustainability as a Service Feature:</w:t>
      </w:r>
    </w:p>
    <w:p>
      <w:pPr>
        <w:numPr>
          <w:ilvl w:val="0"/>
          <w:numId w:val="1002"/>
        </w:numPr>
        <w:pStyle w:val="Compact"/>
      </w:pPr>
      <w:r>
        <w:rPr>
          <w:bCs/>
          <w:b/>
        </w:rPr>
        <w:t xml:space="preserve">Patient Capital and Long-Term Vision:</w:t>
      </w:r>
    </w:p>
    <w:bookmarkEnd w:id="28"/>
    <w:bookmarkStart w:id="29" w:name="conclusion"/>
    <w:p>
      <w:pPr>
        <w:pStyle w:val="Heading2"/>
      </w:pPr>
      <w:r>
        <w:t xml:space="preserve">Conclusion</w:t>
      </w:r>
    </w:p>
    <w:p>
      <w:pPr>
        <w:pStyle w:val="FirstParagraph"/>
      </w:pPr>
      <w:r>
        <w:t xml:space="preserve">The journey of Baker in</w:t>
      </w:r>
      <w:r>
        <w:t xml:space="preserve"> </w:t>
      </w:r>
      <w:r>
        <w:rPr>
          <w:bCs/>
          <w:b/>
        </w:rPr>
        <w:t xml:space="preserve">Germany Frankfurt</w:t>
      </w:r>
      <w:r>
        <w:t xml:space="preserve"> </w:t>
      </w:r>
      <w:r>
        <w:t xml:space="preserve">stands as a testament to the power of strategic localization. By adapting its global strengths to meet the specific demands of this rigorous market, Baker has not only secured a dominant position but also set a new standard for industrial service provision. As Frankfurt continues to evolve as a hub for innovation and finance, Baker is well-positioned to expand its influence further, leveraging the strong foundation built in</w:t>
      </w:r>
      <w:r>
        <w:t xml:space="preserve"> </w:t>
      </w:r>
      <w:r>
        <w:rPr>
          <w:bCs/>
          <w:b/>
        </w:rPr>
        <w:t xml:space="preserve">Germany Frankfurt</w:t>
      </w:r>
      <w:r>
        <w:t xml:space="preserve">. This case study confirms that when global expertise meets local respect, sustainable business success follows.</w:t>
      </w:r>
    </w:p>
    <w:p>
      <w:pPr>
        <w:pStyle w:val="BodyText"/>
      </w:pPr>
      <w:r>
        <w:rPr>
          <w:iCs/>
          <w:i/>
        </w:rPr>
        <w:t xml:space="preserve">Baker remains committed to serving the industrial needs of Germany with precision, integrity,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Operations in Germany Frankfurt</dc:title>
  <dc:creator/>
  <dc:language>en</dc:language>
  <cp:keywords/>
  <dcterms:created xsi:type="dcterms:W3CDTF">2026-07-29T10:59:30Z</dcterms:created>
  <dcterms:modified xsi:type="dcterms:W3CDTF">2026-07-29T10:59:30Z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