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Venezuela</w:t>
      </w:r>
      <w:r>
        <w:t xml:space="preserve"> </w:t>
      </w:r>
      <w:r>
        <w:t xml:space="preserve">Caracas</w:t>
      </w:r>
    </w:p>
    <w:bookmarkStart w:id="31" w:name="case-study-baker-in-venezuela-caracas"/>
    <w:p>
      <w:pPr>
        <w:pStyle w:val="Heading1"/>
      </w:pPr>
      <w:r>
        <w:t xml:space="preserve">Case Study: Baker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Firm:</w:t>
      </w:r>
    </w:p>
    <w:p>
      <w:pPr>
        <w:pStyle w:val="BodyText"/>
      </w:pPr>
      <w:r>
        <w:t xml:space="preserve">Baker</w:t>
      </w:r>
      <w:r>
        <w:rPr>
          <w:bCs/>
          <w:b/>
        </w:rPr>
        <w:t xml:space="preserve"> </w:t>
      </w:r>
    </w:p>
    <w:p>
      <w:pPr>
        <w:pStyle w:val="BodyText"/>
      </w:pPr>
      <w:r>
        <w:t xml:space="preserve">Baker</w:t>
      </w:r>
    </w:p>
    <w:p>
      <w:pPr>
        <w:pStyle w:val="BodyText"/>
      </w:pPr>
      <w:r>
        <w:t xml:space="preserve">, LLP</w:t>
      </w:r>
    </w:p>
    <w:bookmarkStart w:id="20" w:name="executive-summary"/>
    <w:p>
      <w:pPr>
        <w:pStyle w:val="Heading2"/>
      </w:pPr>
      <w:r>
        <w:t xml:space="preserve">Executive Summary</w:t>
      </w:r>
    </w:p>
    <w:p>
      <w:pPr>
        <w:pStyle w:val="FirstParagraph"/>
      </w:pPr>
      <w:r>
        <w:t xml:space="preserve">This case study examines the operational strategies, legal challenges, and strategic adaptations required for</w:t>
      </w:r>
    </w:p>
    <w:bookmarkEnd w:id="20"/>
    <w:bookmarkStart w:id="21" w:name="introduction-to-the-market-context"/>
    <w:p>
      <w:pPr>
        <w:pStyle w:val="Heading2"/>
      </w:pPr>
      <w:r>
        <w:t xml:space="preserve">1. Introduction to the Market Context</w:t>
      </w:r>
    </w:p>
    <w:p>
      <w:pPr>
        <w:pStyle w:val="FirstParagraph"/>
      </w:pPr>
      <w:r>
        <w:t xml:space="preserve">The operating environment in Venezuela Caracas is characterized by a high degree of uncertainty, hyperinflationary pressures, and stringent foreign exchange controls. For multinational entities like Baker, entering or sustaining operations in Venezuela Caracas requires more than standard business acumen; it demands a sophisticated understanding of geopolitical risk and legal nuance. The case study focuses on how Baker has structured its engagements to mitigate exposure while still providing critical services to clients who remain active in the region.</w:t>
      </w:r>
    </w:p>
    <w:p>
      <w:pPr>
        <w:pStyle w:val="BodyText"/>
      </w:pPr>
      <w:r>
        <w:t xml:space="preserve">Venezuela Caracas serves as the political and economic heart of the country, making it both a high-risk zone and a hub for strategic negotiations. Baker’s approach here is not merely about service delivery but about maintaining a bridge between international standards and local exigencies. The firm recognizes that in Venezuela Caracas, traditional risk management protocols must be augmented by adaptive strategies that account for sudden regulatory shifts.</w:t>
      </w:r>
    </w:p>
    <w:bookmarkEnd w:id="21"/>
    <w:bookmarkStart w:id="24" w:name="X512ec6355e097a54d4fc2500780e7ecbe2e76d7"/>
    <w:p>
      <w:pPr>
        <w:pStyle w:val="Heading2"/>
      </w:pPr>
      <w:r>
        <w:t xml:space="preserve">2. Strategic Adaptation of Baker’s Operations</w:t>
      </w:r>
    </w:p>
    <w:bookmarkStart w:id="22" w:name="legal-structure-and-local-partnerships"/>
    <w:p>
      <w:pPr>
        <w:pStyle w:val="Heading3"/>
      </w:pPr>
      <w:r>
        <w:t xml:space="preserve">2.1 Legal Structure and Local Partnerships</w:t>
      </w:r>
    </w:p>
    <w:p>
      <w:pPr>
        <w:pStyle w:val="FirstParagraph"/>
      </w:pPr>
      <w:r>
        <w:t xml:space="preserve">To operate effectively in Venezuela Caracas, Baker has adopted a hybrid service model. Recognizing the difficulties in directly employing large numbers of expatriate staff due to visa restrictions and safety concerns, Baker has established strategic alliances with leading local Venezuelan law firms and consultancies. This allows</w:t>
      </w:r>
    </w:p>
    <w:p>
      <w:pPr>
        <w:pStyle w:val="BodyText"/>
      </w:pPr>
      <w:r>
        <w:t xml:space="preserve">This partnership model is crucial for navigating the bureaucratic labyrinth of Venezuela Caracas. Local partners provide insight into informal practices and regulatory interpretations that are not always codified but are essential for daily operations. However, Baker ensures that all partnerships undergo rigorous due diligence to prevent any association with entities subject to international sanctions, thereby protecting its global reputation.</w:t>
      </w:r>
    </w:p>
    <w:bookmarkEnd w:id="22"/>
    <w:bookmarkStart w:id="23" w:name="compliance-as-a-competitive-advantage"/>
    <w:p>
      <w:pPr>
        <w:pStyle w:val="Heading3"/>
      </w:pPr>
      <w:r>
        <w:t xml:space="preserve">2.2 Compliance as a Competitive Advantage</w:t>
      </w:r>
    </w:p>
    <w:p>
      <w:pPr>
        <w:pStyle w:val="FirstParagraph"/>
      </w:pPr>
      <w:r>
        <w:t xml:space="preserve">In the context of Venezuela Caracas, compliance is not just a legal obligation but a strategic asset. Baker has invested heavily in internal training programs focused on anti-money laundering (AML), counter-terrorist financing (CTF), and sanctions compliance specifically tailored to the Venezuelan context. The firm understands that clients operating in Venezuela Caracas are often under intense scrutiny from global regulatory bodies.</w:t>
      </w:r>
    </w:p>
    <w:p>
      <w:pPr>
        <w:pStyle w:val="BodyText"/>
      </w:pPr>
      <w:r>
        <w:t xml:space="preserve">By offering robust compliance frameworks, Baker differentiates itself from less scrupulous competitors who might cut corners. Clients value Baker’s ability to provide clear audit trails and defensible legal opinions, even when the local laws in Venezuela Caracas appear ambiguous or contradictory. This commitment to integrity has allowed Baker to maintain trust among international stakeholders who wish to engage with Venezuelan markets but fear regulatory backlash.</w:t>
      </w:r>
    </w:p>
    <w:bookmarkEnd w:id="23"/>
    <w:bookmarkEnd w:id="24"/>
    <w:bookmarkStart w:id="27" w:name="challenges-specific-to-venezuela-caracas"/>
    <w:p>
      <w:pPr>
        <w:pStyle w:val="Heading2"/>
      </w:pPr>
      <w:r>
        <w:t xml:space="preserve">3. Challenges Specific to Venezuela Caracas</w:t>
      </w:r>
    </w:p>
    <w:bookmarkStart w:id="25" w:name="currency-and-payment-mechanisms"/>
    <w:p>
      <w:pPr>
        <w:pStyle w:val="Heading3"/>
      </w:pPr>
      <w:r>
        <w:t xml:space="preserve">3.1 Currency and Payment Mechanisms</w:t>
      </w:r>
    </w:p>
    <w:p>
      <w:pPr>
        <w:pStyle w:val="FirstParagraph"/>
      </w:pPr>
      <w:r>
        <w:t xml:space="preserve">The most significant operational hurdle for Baker in Venezuela Caracas is the currency instability. The coexistence of multiple exchange rates, including the official rate and the parallel market rate, creates complex accounting challenges. Baker has had to develop specialized financial advisory services to help clients manage liquidity risk and navigate cross-border payment restrictions.</w:t>
      </w:r>
    </w:p>
    <w:p>
      <w:pPr>
        <w:pStyle w:val="BodyText"/>
      </w:pPr>
      <w:r>
        <w:t xml:space="preserve">Negotiating contracts in Venezuela Caracas requires clauses that account for currency devaluation. Baker’s legal team specializes in drafting agreements that include stabilization clauses or price adjustment mechanisms linked to recognized international indices, ensuring that the value of services rendered is preserved despite local inflation.</w:t>
      </w:r>
    </w:p>
    <w:bookmarkEnd w:id="25"/>
    <w:bookmarkStart w:id="26" w:name="regulatory-uncertainty-and-enforcement"/>
    <w:p>
      <w:pPr>
        <w:pStyle w:val="Heading3"/>
      </w:pPr>
      <w:r>
        <w:t xml:space="preserve">3.2 Regulatory Uncertainty and Enforcement</w:t>
      </w:r>
    </w:p>
    <w:p>
      <w:pPr>
        <w:pStyle w:val="FirstParagraph"/>
      </w:pPr>
      <w:r>
        <w:t xml:space="preserve">The regulatory landscape in Venezuela Caracas is fluid. Decrees and regulations can change with little notice, often lacking clear implementation guidelines. Baker addresses this by maintaining a real-time monitoring system of legislative changes in Venezuela Caracas. The firm provides proactive alerts to clients, advising on potential impacts and recommended adjustments to their operational procedures.</w:t>
      </w:r>
    </w:p>
    <w:p>
      <w:pPr>
        <w:pStyle w:val="BodyText"/>
      </w:pPr>
      <w:r>
        <w:t xml:space="preserve">Furthermore, Baker assists clients in navigating the intersection of local Venezuelan laws and extraterritorial sanctions imposed by other jurisdictions. This dual-compliance requirement is particularly challenging in Venezuela Caracas, where local law may sometimes conflict with international sanctions regimes. Baker’s role is to help clients find safe harbors and legal justifications for their activities that satisfy both domestic requirements and international obligations.</w:t>
      </w:r>
    </w:p>
    <w:bookmarkEnd w:id="26"/>
    <w:bookmarkEnd w:id="27"/>
    <w:bookmarkStart w:id="28" w:name="Xe9fcc1bb6dfde19f328cf04035912ab7dab7ac8"/>
    <w:p>
      <w:pPr>
        <w:pStyle w:val="Heading2"/>
      </w:pPr>
      <w:r>
        <w:t xml:space="preserve">4. Case Example: Infrastructure Project Support</w:t>
      </w:r>
    </w:p>
    <w:p>
      <w:pPr>
        <w:pStyle w:val="FirstParagraph"/>
      </w:pPr>
      <w:r>
        <w:t xml:space="preserve">To illustrate Baker’s impact, consider a recent project involving an infrastructure development initiative in Venezuela Caracas. A consortium of international investors sought to rehabilitate a major urban transport hub but faced significant delays due to unclear land tenure laws and permitting issues in Venezuela Caracas.</w:t>
      </w:r>
    </w:p>
    <w:p>
      <w:pPr>
        <w:pStyle w:val="BodyText"/>
      </w:pPr>
      <w:r>
        <w:t xml:space="preserve">Baker was engaged to conduct a comprehensive legal audit of the land titles and regulatory approvals. The team identified discrepancies between historical records and current administrative practices in Venezuela Caracas. By facilitating dialogue between the investors, local government authorities, and community stakeholders, Baker helped streamline the permitting process. The firm also structured a joint venture agreement that allocated risks appropriately among the parties.</w:t>
      </w:r>
    </w:p>
    <w:p>
      <w:pPr>
        <w:pStyle w:val="BodyText"/>
      </w:pPr>
      <w:r>
        <w:t xml:space="preserve">The result was a successful project launch that adhered to both international best practices and local regulatory requirements in Venezuela Caracas. This case exemplifies how Baker’s deep understanding of the local context, combined with its global expertise, creates value even in highly constrained environments.</w:t>
      </w:r>
    </w:p>
    <w:bookmarkEnd w:id="28"/>
    <w:bookmarkStart w:id="29" w:name="future-outlook-and-recommendations"/>
    <w:p>
      <w:pPr>
        <w:pStyle w:val="Heading2"/>
      </w:pPr>
      <w:r>
        <w:t xml:space="preserve">5. Future Outlook and Recommendations</w:t>
      </w:r>
    </w:p>
    <w:p>
      <w:pPr>
        <w:pStyle w:val="FirstParagraph"/>
      </w:pPr>
      <w:r>
        <w:t xml:space="preserve">The future for Baker in Venezuela Caracas depends on sustained engagement with evolving market conditions. As political and economic situations fluctuate, Baker must remain agile. Recommendations for the firm include:</w:t>
      </w:r>
    </w:p>
    <w:p>
      <w:pPr>
        <w:numPr>
          <w:ilvl w:val="0"/>
          <w:numId w:val="1001"/>
        </w:numPr>
        <w:pStyle w:val="Compact"/>
      </w:pPr>
      <w:r>
        <w:rPr>
          <w:bCs/>
          <w:b/>
        </w:rPr>
        <w:t xml:space="preserve">Digital Transformation:</w:t>
      </w:r>
      <w:r>
        <w:t xml:space="preserve"> </w:t>
      </w:r>
      <w:r>
        <w:t xml:space="preserve">Increasing the use of remote consultation tools to reduce travel risks and costs while serving clients in Venezuela Caracas.</w:t>
      </w:r>
    </w:p>
    <w:p>
      <w:pPr>
        <w:numPr>
          <w:ilvl w:val="0"/>
          <w:numId w:val="1001"/>
        </w:numPr>
        <w:pStyle w:val="Compact"/>
      </w:pPr>
      <w:r>
        <w:rPr>
          <w:bCs/>
          <w:b/>
        </w:rPr>
        <w:t xml:space="preserve">Talent Development:</w:t>
      </w:r>
      <w:r>
        <w:t xml:space="preserve"> </w:t>
      </w:r>
      <w:r>
        <w:t xml:space="preserve">Investing more in local talent within Venezuela Caracas to build a deeper bench of professionals who understand both local nuances and international standards.</w:t>
      </w:r>
    </w:p>
    <w:p>
      <w:pPr>
        <w:numPr>
          <w:ilvl w:val="0"/>
          <w:numId w:val="1001"/>
        </w:numPr>
        <w:pStyle w:val="Compact"/>
      </w:pPr>
      <w:r>
        <w:rPr>
          <w:bCs/>
          <w:b/>
        </w:rPr>
        <w:t xml:space="preserve">Risk Monitoring:</w:t>
      </w:r>
      <w:r>
        <w:t xml:space="preserve"> </w:t>
      </w:r>
      <w:r>
        <w:t xml:space="preserve">Enhancing AI-driven tools to predict regulatory shifts in Venezuela Caracas with greater accuracy.</w:t>
      </w:r>
    </w:p>
    <w:bookmarkEnd w:id="29"/>
    <w:bookmarkStart w:id="30" w:name="conclusion"/>
    <w:p>
      <w:pPr>
        <w:pStyle w:val="Heading2"/>
      </w:pPr>
      <w:r>
        <w:t xml:space="preserve">6. Conclusion</w:t>
      </w:r>
    </w:p>
    <w:p>
      <w:pPr>
        <w:pStyle w:val="FirstParagraph"/>
      </w:pPr>
      <w:r>
        <w:t xml:space="preserve">Baker’s presence in Venezuela Caracas is a testament to the firm’s ability to adapt and thrive in challenging environments. By prioritizing compliance, leveraging local partnerships, and providing specialized advisory services, Baker has established itself as a key player for entities operating in or engaging with Venezuela Caracas. The case study underscores that success in such complex markets requires not just legal expertise but also cultural intelligence and strategic patience. As Baker continues to operate in Venezuela Caracas, its commitment to integrity and innovation will remain its guiding principles, ensuring long-term sustainability and value creation.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Venezuela Caracas</dc:title>
  <dc:creator/>
  <dc:language>en</dc:language>
  <cp:keywords/>
  <dcterms:created xsi:type="dcterms:W3CDTF">2026-07-29T18:33:12Z</dcterms:created>
  <dcterms:modified xsi:type="dcterms:W3CDTF">2026-07-29T18:33:12Z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