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Córdoba</w:t>
      </w:r>
    </w:p>
    <w:bookmarkStart w:id="26" w:name="Xd908760b8963ec4f0732ce6b0f8efd035f45b03"/>
    <w:p>
      <w:pPr>
        <w:pStyle w:val="Heading1"/>
      </w:pPr>
      <w:r>
        <w:t xml:space="preserve">The Modern Banker in Argentina Córdoba: Navigating Volatility and Tradition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Economic Analysis Division</w:t>
      </w:r>
      <w:r>
        <w:br/>
      </w:r>
      <w:r>
        <w:rPr>
          <w:bCs/>
          <w:b/>
        </w:rPr>
        <w:t xml:space="preserve">Subject:</w:t>
      </w:r>
      <w:r>
        <w:t xml:space="preserve">A Comprehensive</w:t>
      </w:r>
      <w:r>
        <w:t xml:space="preserve"> </w:t>
      </w:r>
      <w:r>
        <w:t xml:space="preserve">Case Study</w:t>
      </w:r>
      <w:r>
        <w:t xml:space="preserve"> </w:t>
      </w:r>
      <w:r>
        <w:t xml:space="preserve">on the Role and Adaptation of the</w:t>
      </w:r>
    </w:p>
    <w:p>
      <w:pPr>
        <w:pStyle w:val="BodyText"/>
      </w:pPr>
      <w:r>
        <w:t xml:space="preserve">Banker in</w:t>
      </w:r>
    </w:p>
    <w:p>
      <w:pPr>
        <w:pStyle w:val="BodyText"/>
      </w:pPr>
      <w:r>
        <w:t xml:space="preserve">Argentina Córdoba</w:t>
      </w:r>
    </w:p>
    <w:bookmarkStart w:id="20" w:name="introduction-and-contextual-framework"/>
    <w:p>
      <w:pPr>
        <w:pStyle w:val="Heading2"/>
      </w:pPr>
      <w:r>
        <w:t xml:space="preserve">1. Introduction and Contextual Framework</w:t>
      </w:r>
    </w:p>
    <w:p>
      <w:pPr>
        <w:pStyle w:val="FirstParagraph"/>
      </w:pPr>
      <w:r>
        <w:t xml:space="preserve">The financial landscape of Latin America is characterized by a unique interplay between robust entrepreneurial spirit and persistent macroeconomic instability. Within this complex ecosystem, the city of</w:t>
      </w:r>
      <w:r>
        <w:t xml:space="preserve"> </w:t>
      </w:r>
      <w:r>
        <w:rPr>
          <w:bCs/>
          <w:b/>
        </w:rPr>
        <w:t xml:space="preserve">Córdoba, Argentina</w:t>
      </w:r>
      <w:r>
        <w:t xml:space="preserve">, stands out as a vital economic engine, often referred to as the "Silicon Valley" of the country due to its strong technology sector and educational infrastructure. This</w:t>
      </w:r>
      <w:r>
        <w:t xml:space="preserve"> </w:t>
      </w:r>
      <w:r>
        <w:t xml:space="preserve">Case Study</w:t>
      </w:r>
      <w:r>
        <w:t xml:space="preserve"> </w:t>
      </w:r>
      <w:r>
        <w:t xml:space="preserve">aims to dissect the evolving role of the professional</w:t>
      </w:r>
    </w:p>
    <w:p>
      <w:pPr>
        <w:pStyle w:val="BodyText"/>
      </w:pPr>
      <w:r>
        <w:t xml:space="preserve">Banker operating within this specific jurisdiction. The focus is not merely on traditional banking operations, but on how local financial professionals navigate the distinct challenges posed by Argentina’s chronic inflation, currency controls (cepo cambiario), and a rapidly digitizing consumer base.</w:t>
      </w:r>
    </w:p>
    <w:p>
      <w:pPr>
        <w:pStyle w:val="BodyText"/>
      </w:pPr>
      <w:r>
        <w:t xml:space="preserve">In</w:t>
      </w:r>
      <w:r>
        <w:t xml:space="preserve"> </w:t>
      </w:r>
      <w:r>
        <w:rPr>
          <w:bCs/>
          <w:b/>
        </w:rPr>
        <w:t xml:space="preserve">Argentina Córdoba</w:t>
      </w:r>
      <w:r>
        <w:t xml:space="preserve">, the relationship between financial institutions and their clients is deeply personal yet increasingly transactional. The</w:t>
      </w:r>
    </w:p>
    <w:p>
      <w:pPr>
        <w:pStyle w:val="BodyText"/>
      </w:pPr>
      <w:r>
        <w:t xml:space="preserve">Banker in this region must possess a dual skill set: deep local cultural intelligence to maintain trust in a community where face-to-face relationships remain paramount, and advanced technical proficiency to manage cross-border transactions amidst strict regulatory hurdles. This document explores the historical trajectory, current operational challenges, and future strategic imperatives for the</w:t>
      </w:r>
    </w:p>
    <w:p>
      <w:pPr>
        <w:pStyle w:val="BodyText"/>
      </w:pPr>
      <w:r>
        <w:t xml:space="preserve">Banker in this dynamic province.</w:t>
      </w:r>
    </w:p>
    <w:bookmarkEnd w:id="20"/>
    <w:bookmarkStart w:id="21" w:name="X7b620563295ebded2b26218c9a2afc90e4a381c"/>
    <w:p>
      <w:pPr>
        <w:pStyle w:val="Heading2"/>
      </w:pPr>
      <w:r>
        <w:t xml:space="preserve">2. Historical Evolution of Banking in Córdoba</w:t>
      </w:r>
    </w:p>
    <w:p>
      <w:pPr>
        <w:pStyle w:val="FirstParagraph"/>
      </w:pPr>
      <w:r>
        <w:t xml:space="preserve">To understand the current state of the</w:t>
      </w:r>
    </w:p>
    <w:p>
      <w:pPr>
        <w:pStyle w:val="BodyText"/>
      </w:pPr>
      <w:r>
        <w:t xml:space="preserve">Banker, one must first appreciate the historical context of banking in</w:t>
      </w:r>
      <w:r>
        <w:t xml:space="preserve"> </w:t>
      </w:r>
      <w:r>
        <w:rPr>
          <w:bCs/>
          <w:b/>
        </w:rPr>
        <w:t xml:space="preserve">Argentina Córdoba</w:t>
      </w:r>
      <w:r>
        <w:t xml:space="preserve">. Historically, Córdoba served as a secondary hub to Buenos Aires, focusing primarily on agricultural financing and local trade. For decades, the provincial</w:t>
      </w:r>
    </w:p>
    <w:p>
      <w:pPr>
        <w:pStyle w:val="BodyText"/>
      </w:pPr>
      <w:r>
        <w:t xml:space="preserve">Banker was viewed as a conservative custodian of capital, prioritizing stability over innovation. The banking sector was dominated by large national entities with local branches that adhered strictly to centralized protocols.</w:t>
      </w:r>
    </w:p>
    <w:p>
      <w:pPr>
        <w:pStyle w:val="BodyText"/>
      </w:pPr>
      <w:r>
        <w:t xml:space="preserve">However, the turn of the millennium brought significant shifts. The growth of Córdoba’s industrial park and its emergence as a hub for software development and automotive manufacturing required more sophisticated financial products than traditional deposits could offer. Consequently, the role of the</w:t>
      </w:r>
    </w:p>
    <w:p>
      <w:pPr>
        <w:pStyle w:val="BodyText"/>
      </w:pPr>
      <w:r>
        <w:t xml:space="preserve">Banker expanded from simple transaction processing to complex corporate finance advisory. In the 2010s, as Argentina faced severe economic crises, local bankers in Córdoba began to differentiate themselves by offering tailored solutions for export-oriented businesses seeking to navigate foreign exchange restrictions. This period marked a transition where the</w:t>
      </w:r>
    </w:p>
    <w:p>
      <w:pPr>
        <w:pStyle w:val="BodyText"/>
      </w:pPr>
      <w:r>
        <w:t xml:space="preserve">Banker became not just a service provider, but a critical strategic partner for business continuity.</w:t>
      </w:r>
    </w:p>
    <w:bookmarkEnd w:id="21"/>
    <w:bookmarkStart w:id="22" w:name="Xaf462fc9381ec7fea088ff86c4106958b304739"/>
    <w:p>
      <w:pPr>
        <w:pStyle w:val="Heading2"/>
      </w:pPr>
      <w:r>
        <w:t xml:space="preserve">3. The Modern Banking Landscape and Operational Challenges</w:t>
      </w:r>
    </w:p>
    <w:p>
      <w:pPr>
        <w:pStyle w:val="FirstParagraph"/>
      </w:pPr>
      <w:r>
        <w:t xml:space="preserve">Today, the</w:t>
      </w:r>
    </w:p>
    <w:p>
      <w:pPr>
        <w:pStyle w:val="BodyText"/>
      </w:pPr>
      <w:r>
        <w:t xml:space="preserve">Banker in</w:t>
      </w:r>
      <w:r>
        <w:t xml:space="preserve"> </w:t>
      </w:r>
      <w:r>
        <w:rPr>
          <w:bCs/>
          <w:b/>
        </w:rPr>
        <w:t xml:space="preserve">Argentina Córdoba</w:t>
      </w:r>
      <w:r>
        <w:t xml:space="preserve"> </w:t>
      </w:r>
      <w:r>
        <w:t xml:space="preserve">operates in one of the most challenging macroeconomic environments in the world. High inflation rates, which have frequently exceeded 100% annually, require financial professionals to constantly educate their clients on preserving purchasing power. The modern</w:t>
      </w:r>
    </w:p>
    <w:p>
      <w:pPr>
        <w:pStyle w:val="BodyText"/>
      </w:pPr>
      <w:r>
        <w:t xml:space="preserve">Banker must be an expert in asset diversification, guiding clients toward foreign currency accounts (such as US Dollar deposits), inflation-adjusted bonds (like Tesoros Previsionales), or tangible assets like real estate and precious metals.</w:t>
      </w:r>
    </w:p>
    <w:p>
      <w:pPr>
        <w:pStyle w:val="BodyText"/>
      </w:pPr>
      <w:r>
        <w:t xml:space="preserve">A significant aspect of this</w:t>
      </w:r>
      <w:r>
        <w:t xml:space="preserve"> </w:t>
      </w:r>
      <w:r>
        <w:t xml:space="preserve">Case Study</w:t>
      </w:r>
      <w:r>
        <w:t xml:space="preserve"> </w:t>
      </w:r>
      <w:r>
        <w:t xml:space="preserve">is the impact of regulatory controls. The "cepo cambiario" imposes strict limits on the purchase of foreign currency. For the</w:t>
      </w:r>
    </w:p>
    <w:p>
      <w:pPr>
        <w:pStyle w:val="BodyText"/>
      </w:pPr>
      <w:r>
        <w:t xml:space="preserve">Banker, this creates a complex compliance maze. They must ensure that every transaction adheres to Central Bank regulations while still providing value to clients who may be seeking legal avenues for international trade settlements or personal savings protection. This regulatory burden requires continuous training and adaptation, making the job of the</w:t>
      </w:r>
    </w:p>
    <w:p>
      <w:pPr>
        <w:pStyle w:val="BodyText"/>
      </w:pPr>
      <w:r>
        <w:t xml:space="preserve">Banker in Córdoba significantly more complex than their counterparts in stable economies.</w:t>
      </w:r>
    </w:p>
    <w:p>
      <w:pPr>
        <w:pStyle w:val="BodyText"/>
      </w:pPr>
      <w:r>
        <w:t xml:space="preserve">Furthermore, the digital transformation has accelerated post-pandemic. In</w:t>
      </w:r>
      <w:r>
        <w:t xml:space="preserve"> </w:t>
      </w:r>
      <w:r>
        <w:rPr>
          <w:bCs/>
          <w:b/>
        </w:rPr>
        <w:t xml:space="preserve">Argentina Córdoba</w:t>
      </w:r>
      <w:r>
        <w:t xml:space="preserve">, mobile banking adoption has surged. The traditional branch model is no longer sufficient. The modern</w:t>
      </w:r>
    </w:p>
    <w:p>
      <w:pPr>
        <w:pStyle w:val="BodyText"/>
      </w:pPr>
      <w:r>
        <w:t xml:space="preserve">Banker must integrate digital tools into their workflow, utilizing AI-driven analytics to assess credit risk and personalize financial advice. However, unlike in other regions where technology replaces human interaction, in Córdoba’s culture-bound market, technology serves as an enabler for the</w:t>
      </w:r>
    </w:p>
    <w:p>
      <w:pPr>
        <w:pStyle w:val="BodyText"/>
      </w:pPr>
      <w:r>
        <w:t xml:space="preserve">Banker to deepen relationships rather than replace them. The hybrid model—where digital efficiency meets personalized consultation—is the current standard.</w:t>
      </w:r>
    </w:p>
    <w:bookmarkEnd w:id="22"/>
    <w:bookmarkStart w:id="23" w:name="X482d70455fd175f1ed7f6fc9964593d1d131625"/>
    <w:p>
      <w:pPr>
        <w:pStyle w:val="Heading2"/>
      </w:pPr>
      <w:r>
        <w:t xml:space="preserve">4. Socio-Economic Impact and Community Trust</w:t>
      </w:r>
    </w:p>
    <w:p>
      <w:pPr>
        <w:pStyle w:val="FirstParagraph"/>
      </w:pPr>
      <w:r>
        <w:t xml:space="preserve">The cultural fabric of Córdoba places a high value on trust and long-term relationships. For the</w:t>
      </w:r>
    </w:p>
    <w:p>
      <w:pPr>
        <w:pStyle w:val="BodyText"/>
      </w:pPr>
      <w:r>
        <w:t xml:space="preserve">Banker, this means that reputation management is as crucial as financial acumen. In smaller towns across the province, such as Villa María or Río Cuarto, bankers are often visible community members who attend local events and understand the specific needs of family-owned businesses (pyMEs). This</w:t>
      </w:r>
      <w:r>
        <w:t xml:space="preserve"> </w:t>
      </w:r>
      <w:r>
        <w:t xml:space="preserve">Case Study</w:t>
      </w:r>
      <w:r>
        <w:t xml:space="preserve"> </w:t>
      </w:r>
      <w:r>
        <w:t xml:space="preserve">highlights that trust is not given; it is earned through consistent advice during times of economic uncertainty.</w:t>
      </w:r>
    </w:p>
    <w:p>
      <w:pPr>
        <w:pStyle w:val="BodyText"/>
      </w:pPr>
      <w:r>
        <w:t xml:space="preserve">When inflation erodes savings, clients look to their banker for reassurance and strategic direction. A</w:t>
      </w:r>
    </w:p>
    <w:p>
      <w:pPr>
        <w:pStyle w:val="BodyText"/>
      </w:pPr>
      <w:r>
        <w:t xml:space="preserve">Banker who transparently explains market dynamics and offers realistic, albeit difficult, financial restructuring options builds immense loyalty. Conversely, those who rely solely on institutional jargon without addressing the emotional aspect of financial loss often see client attrition to informal lending markets or competitors. Thus, the soft skills of communication and empathy are now considered core competencies for the professional</w:t>
      </w:r>
    </w:p>
    <w:p>
      <w:pPr>
        <w:pStyle w:val="BodyText"/>
      </w:pPr>
      <w:r>
        <w:t xml:space="preserve">Banker in this region.</w:t>
      </w:r>
    </w:p>
    <w:bookmarkEnd w:id="23"/>
    <w:bookmarkStart w:id="24" w:name="X5e8cd63d7041b6620e1c6877684a7475c2f3457"/>
    <w:p>
      <w:pPr>
        <w:pStyle w:val="Heading2"/>
      </w:pPr>
      <w:r>
        <w:t xml:space="preserve">5. Future Outlook: Sustainability and Fintech Integration</w:t>
      </w:r>
    </w:p>
    <w:p>
      <w:pPr>
        <w:pStyle w:val="FirstParagraph"/>
      </w:pPr>
      <w:r>
        <w:t xml:space="preserve">Looking forward, the trajectory for banking in</w:t>
      </w:r>
      <w:r>
        <w:t xml:space="preserve"> </w:t>
      </w:r>
      <w:r>
        <w:rPr>
          <w:bCs/>
          <w:b/>
        </w:rPr>
        <w:t xml:space="preserve">Argentina Córdoba</w:t>
      </w:r>
      <w:r>
        <w:t xml:space="preserve"> </w:t>
      </w:r>
      <w:r>
        <w:t xml:space="preserve">points toward greater integration with Fintech solutions and a focus on sustainable finance. Younger generations of consumers in Córdoba are increasingly tech-savvy and demand seamless, app-based experiences. The</w:t>
      </w:r>
    </w:p>
    <w:p>
      <w:pPr>
        <w:pStyle w:val="BodyText"/>
      </w:pPr>
      <w:r>
        <w:t xml:space="preserve">Banker of the future will likely operate less as a transactional processor and more as a wealth manager or financial consultant, leveraging Fintech platforms to offer fractional investing, automated budgeting tools, and real-time market data.</w:t>
      </w:r>
    </w:p>
    <w:p>
      <w:pPr>
        <w:pStyle w:val="BodyText"/>
      </w:pPr>
      <w:r>
        <w:t xml:space="preserve">Additionally, there is a growing emphasis on ESG (Environmental, Social, and Governance) criteria. As global investors look toward Latin America for sustainable growth opportunities,</w:t>
      </w:r>
    </w:p>
    <w:p>
      <w:pPr>
        <w:pStyle w:val="BodyText"/>
      </w:pPr>
      <w:r>
        <w:t xml:space="preserve">Bankers in Córdoba will need to advise clients on green financing options and sustainable business practices. This shift represents a new frontier for the profession, requiring additional specialized knowledge.</w:t>
      </w:r>
    </w:p>
    <w:bookmarkEnd w:id="24"/>
    <w:bookmarkStart w:id="25" w:name="conclusion"/>
    <w:p>
      <w:pPr>
        <w:pStyle w:val="Heading2"/>
      </w:pPr>
      <w:r>
        <w:t xml:space="preserve">6. Conclusion</w:t>
      </w:r>
    </w:p>
    <w:p>
      <w:pPr>
        <w:pStyle w:val="FirstParagraph"/>
      </w:pPr>
      <w:r>
        <w:t xml:space="preserve">In conclusion, this</w:t>
      </w:r>
      <w:r>
        <w:t xml:space="preserve"> </w:t>
      </w:r>
      <w:r>
        <w:t xml:space="preserve">Case Study</w:t>
      </w:r>
      <w:r>
        <w:t xml:space="preserve"> </w:t>
      </w:r>
      <w:r>
        <w:t xml:space="preserve">demonstrates that the role of the</w:t>
      </w:r>
    </w:p>
    <w:p>
      <w:pPr>
        <w:pStyle w:val="BodyText"/>
      </w:pPr>
      <w:r>
        <w:t xml:space="preserve">Banker in</w:t>
      </w:r>
      <w:r>
        <w:t xml:space="preserve"> </w:t>
      </w:r>
      <w:r>
        <w:rPr>
          <w:bCs/>
          <w:b/>
        </w:rPr>
        <w:t xml:space="preserve">Argentina Córdoba</w:t>
      </w:r>
      <w:r>
        <w:t xml:space="preserve"> </w:t>
      </w:r>
      <w:r>
        <w:t xml:space="preserve">is far more complex and dynamic than traditional definitions suggest. Operating at the intersection of high-stakes economic volatility, strict regulatory frameworks, and a culture that values personal connection, these financial professionals play a pivotal role in the region’s stability. They are not merely custodians of money but facilitators of economic resilience. For institutions operating in Córdoba, investing in the continuous education and technological empowerment of their</w:t>
      </w:r>
    </w:p>
    <w:p>
      <w:pPr>
        <w:pStyle w:val="BodyText"/>
      </w:pPr>
      <w:r>
        <w:t xml:space="preserve">Bankers is essential for maintaining competitive advantage and fostering long-term client loyalty amidst ongoing economic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Argentina Córdoba</dc:title>
  <dc:creator/>
  <dc:language>en</dc:language>
  <cp:keywords/>
  <dcterms:created xsi:type="dcterms:W3CDTF">2026-07-29T15:57:00Z</dcterms:created>
  <dcterms:modified xsi:type="dcterms:W3CDTF">2026-07-29T15:57:00Z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