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Australia</w:t>
      </w:r>
      <w:r>
        <w:t xml:space="preserve"> </w:t>
      </w:r>
      <w:r>
        <w:t xml:space="preserve">Melbourne</w:t>
      </w:r>
    </w:p>
    <w:bookmarkStart w:id="30" w:name="Xf05ecb159c5f5499c3692598110074318cf9cc5"/>
    <w:p>
      <w:pPr>
        <w:pStyle w:val="Heading1"/>
      </w:pPr>
      <w:r>
        <w:t xml:space="preserve">The Modern Banker in Australia Melbourne: A Strategic Case Study</w:t>
      </w:r>
    </w:p>
    <w:bookmarkStart w:id="20" w:name="executive-summary"/>
    <w:p>
      <w:pPr>
        <w:pStyle w:val="Heading2"/>
      </w:pPr>
      <w:r>
        <w:t xml:space="preserve">Executive Summary</w:t>
      </w:r>
    </w:p>
    <w:p>
      <w:pPr>
        <w:pStyle w:val="FirstParagraph"/>
      </w:pPr>
      <w:r>
        <w:t xml:space="preserve">This case study examines the evolving role of the</w:t>
      </w:r>
      <w:r>
        <w:t xml:space="preserve"> </w:t>
      </w:r>
      <w:r>
        <w:rPr>
          <w:bCs/>
          <w:b/>
        </w:rPr>
        <w:t xml:space="preserve">Banker</w:t>
      </w:r>
      <w:r>
        <w:t xml:space="preserve">, specifically focusing on operational dynamics within</w:t>
      </w:r>
      <w:r>
        <w:t xml:space="preserve"> </w:t>
      </w:r>
      <w:r>
        <w:rPr>
          <w:bCs/>
          <w:b/>
        </w:rPr>
        <w:t xml:space="preserve">Australia Melbourne</w:t>
      </w:r>
      <w:r>
        <w:t xml:space="preserve">. By analyzing recent market shifts, regulatory changes, and technological disruptions in one of Australia’s most vibrant economic hubs, this document provides a comprehensive overview of how financial institutions must adapt to remain competitive. The analysis highlights that the traditional</w:t>
      </w:r>
      <w:r>
        <w:t xml:space="preserve"> </w:t>
      </w:r>
      <w:r>
        <w:rPr>
          <w:bCs/>
          <w:b/>
        </w:rPr>
        <w:t xml:space="preserve">Banker</w:t>
      </w:r>
      <w:r>
        <w:t xml:space="preserve"> </w:t>
      </w:r>
      <w:r>
        <w:t xml:space="preserve">is no longer just a custodian of capital but a strategic advisor navigating complex digital landscapes. Furthermore, it underscores how the unique socio-economic fabric of</w:t>
      </w:r>
      <w:r>
        <w:t xml:space="preserve"> </w:t>
      </w:r>
      <w:r>
        <w:rPr>
          <w:bCs/>
          <w:b/>
        </w:rPr>
        <w:t xml:space="preserve">Australia Melbourne</w:t>
      </w:r>
      <w:r>
        <w:t xml:space="preserve"> </w:t>
      </w:r>
      <w:r>
        <w:t xml:space="preserve">demands localized strategies that blend global banking standards with local community engagement.</w:t>
      </w:r>
    </w:p>
    <w:bookmarkEnd w:id="20"/>
    <w:bookmarkStart w:id="21" w:name="introduction-and-background"/>
    <w:p>
      <w:pPr>
        <w:pStyle w:val="Heading2"/>
      </w:pPr>
      <w:r>
        <w:t xml:space="preserve">1. Introduction and Background</w:t>
      </w:r>
    </w:p>
    <w:p>
      <w:pPr>
        <w:pStyle w:val="FirstParagraph"/>
      </w:pPr>
      <w:r>
        <w:t xml:space="preserve">Melbourne, often cited as one of the world’s most liveable cities, serves as a critical financial center for the Southern Hemisphere. As the capital of Victoria and a gateway to Asia-Pacific markets,</w:t>
      </w:r>
      <w:r>
        <w:t xml:space="preserve"> </w:t>
      </w:r>
      <w:r>
        <w:rPr>
          <w:bCs/>
          <w:b/>
        </w:rPr>
        <w:t xml:space="preserve">Australia Melbourne</w:t>
      </w:r>
      <w:r>
        <w:t xml:space="preserve"> </w:t>
      </w:r>
      <w:r>
        <w:t xml:space="preserve">hosts a diverse array of businesses, from multinational corporations to innovative start-ups. In this environment, the role of every</w:t>
      </w:r>
      <w:r>
        <w:t xml:space="preserve"> </w:t>
      </w:r>
      <w:r>
        <w:rPr>
          <w:bCs/>
          <w:b/>
        </w:rPr>
        <w:t xml:space="preserve">Banker</w:t>
      </w:r>
      <w:r>
        <w:t xml:space="preserve"> </w:t>
      </w:r>
      <w:r>
        <w:t xml:space="preserve">has undergone significant transformation over the last decade. Historically viewed as transactional service providers, modern financial professionals are now expected to offer holistic wealth management solutions, sustainable financing options, and digital-first experiences.</w:t>
      </w:r>
    </w:p>
    <w:p>
      <w:pPr>
        <w:pStyle w:val="BodyText"/>
      </w:pPr>
      <w:r>
        <w:t xml:space="preserve">The purpose of this case study is to explore how a hypothetical regional bank branch in</w:t>
      </w:r>
      <w:r>
        <w:t xml:space="preserve"> </w:t>
      </w:r>
      <w:r>
        <w:rPr>
          <w:bCs/>
          <w:b/>
        </w:rPr>
        <w:t xml:space="preserve">Australia Melbourne</w:t>
      </w:r>
      <w:r>
        <w:t xml:space="preserve">, referred to herein as "MetroCity Bank," has successfully redefined its approach to customer service. By focusing on the human element of banking alongside technological integration, MetroCity Bank aims to demonstrate best practices for the modern</w:t>
      </w:r>
      <w:r>
        <w:t xml:space="preserve"> </w:t>
      </w:r>
      <w:r>
        <w:rPr>
          <w:bCs/>
          <w:b/>
        </w:rPr>
        <w:t xml:space="preserve">Banker</w:t>
      </w:r>
      <w:r>
        <w:t xml:space="preserve"> </w:t>
      </w:r>
      <w:r>
        <w:t xml:space="preserve">operating in a highly competitive market.</w:t>
      </w:r>
    </w:p>
    <w:bookmarkEnd w:id="21"/>
    <w:bookmarkStart w:id="22" w:name="market-context-in-australia-melbourne"/>
    <w:p>
      <w:pPr>
        <w:pStyle w:val="Heading2"/>
      </w:pPr>
      <w:r>
        <w:t xml:space="preserve">2. Market Context in Australia Melbourne</w:t>
      </w:r>
    </w:p>
    <w:p>
      <w:pPr>
        <w:pStyle w:val="FirstParagraph"/>
      </w:pPr>
      <w:r>
        <w:t xml:space="preserve">To understand the challenges faced by every</w:t>
      </w:r>
      <w:r>
        <w:t xml:space="preserve"> </w:t>
      </w:r>
      <w:r>
        <w:rPr>
          <w:bCs/>
          <w:b/>
        </w:rPr>
        <w:t xml:space="preserve">Banker</w:t>
      </w:r>
      <w:r>
        <w:t xml:space="preserve">, one must first appreciate the specific context of</w:t>
      </w:r>
      <w:r>
        <w:t xml:space="preserve"> </w:t>
      </w:r>
      <w:r>
        <w:rPr>
          <w:bCs/>
          <w:b/>
        </w:rPr>
        <w:t xml:space="preserve">Australia Melbourne</w:t>
      </w:r>
      <w:r>
        <w:t xml:space="preserve">. The city boasts a robust real estate market, a thriving arts and culture sector, and a growing technology industry. However, these strengths come with challenges. Interest rate fluctuations influenced by the Reserve Bank of Australia have had profound effects on mortgage holders in</w:t>
      </w:r>
      <w:r>
        <w:t xml:space="preserve"> </w:t>
      </w:r>
      <w:r>
        <w:rPr>
          <w:bCs/>
          <w:b/>
        </w:rPr>
        <w:t xml:space="preserve">Australia Melbourne</w:t>
      </w:r>
      <w:r>
        <w:t xml:space="preserve">, necessitating proactive communication from their respective bankers.</w:t>
      </w:r>
    </w:p>
    <w:p>
      <w:pPr>
        <w:pStyle w:val="BodyText"/>
      </w:pPr>
      <w:r>
        <w:t xml:space="preserve">Moreover, demographic shifts play a crucial role.</w:t>
      </w:r>
      <w:r>
        <w:t xml:space="preserve"> </w:t>
      </w:r>
      <w:r>
        <w:rPr>
          <w:bCs/>
          <w:b/>
        </w:rPr>
        <w:t xml:space="preserve">Australia Melbourne</w:t>
      </w:r>
      <w:r>
        <w:t xml:space="preserve"> </w:t>
      </w:r>
      <w:r>
        <w:t xml:space="preserve">has a young, diverse population with high digital literacy rates. This demographic reality forces every traditional</w:t>
      </w:r>
      <w:r>
        <w:t xml:space="preserve"> </w:t>
      </w:r>
      <w:r>
        <w:rPr>
          <w:bCs/>
          <w:b/>
        </w:rPr>
        <w:t xml:space="preserve">Banker</w:t>
      </w:r>
      <w:r>
        <w:t xml:space="preserve"> </w:t>
      </w:r>
      <w:r>
        <w:t xml:space="preserve">to rethink their engagement strategies. Younger customers in this region prefer mobile banking applications and instant transfers over physical branch visits. Consequently, the modern</w:t>
      </w:r>
      <w:r>
        <w:t xml:space="preserve"> </w:t>
      </w:r>
      <w:r>
        <w:rPr>
          <w:bCs/>
          <w:b/>
        </w:rPr>
        <w:t xml:space="preserve">Banker</w:t>
      </w:r>
      <w:r>
        <w:t xml:space="preserve"> </w:t>
      </w:r>
      <w:r>
        <w:t xml:space="preserve">must possess strong digital fluency to guide clients through online platforms effectively.</w:t>
      </w:r>
    </w:p>
    <w:bookmarkEnd w:id="22"/>
    <w:bookmarkStart w:id="23" w:name="the-role-of-technology-and-innovation"/>
    <w:p>
      <w:pPr>
        <w:pStyle w:val="Heading2"/>
      </w:pPr>
      <w:r>
        <w:t xml:space="preserve">3. The Role of Technology and Innovation</w:t>
      </w:r>
    </w:p>
    <w:p>
      <w:pPr>
        <w:pStyle w:val="FirstParagraph"/>
      </w:pPr>
      <w:r>
        <w:t xml:space="preserve">Innovation is not merely a buzzword but a survival mechanism for the contemporary</w:t>
      </w:r>
      <w:r>
        <w:t xml:space="preserve"> </w:t>
      </w:r>
      <w:r>
        <w:rPr>
          <w:bCs/>
          <w:b/>
        </w:rPr>
        <w:t xml:space="preserve">Banker</w:t>
      </w:r>
      <w:r>
        <w:t xml:space="preserve">. At MetroCity Bank, located in the heart of</w:t>
      </w:r>
      <w:r>
        <w:t xml:space="preserve"> </w:t>
      </w:r>
      <w:r>
        <w:rPr>
          <w:bCs/>
          <w:b/>
        </w:rPr>
        <w:t xml:space="preserve">Australia Melbourne</w:t>
      </w:r>
      <w:r>
        <w:t xml:space="preserve">, the implementation of Artificial Intelligence (AI) has streamlined routine tasks. Chatbots handle initial customer queries, allowing human bankers to focus on complex financial planning.</w:t>
      </w:r>
    </w:p>
    <w:p>
      <w:pPr>
        <w:pStyle w:val="BodyText"/>
      </w:pPr>
      <w:r>
        <w:t xml:space="preserve">For instance, when analyzing loan applications for small businesses in</w:t>
      </w:r>
      <w:r>
        <w:t xml:space="preserve"> </w:t>
      </w:r>
      <w:r>
        <w:rPr>
          <w:bCs/>
          <w:b/>
        </w:rPr>
        <w:t xml:space="preserve">Australia Melbourne</w:t>
      </w:r>
      <w:r>
        <w:t xml:space="preserve">, data analytics tools provide rapid credit assessments. This efficiency enables the</w:t>
      </w:r>
      <w:r>
        <w:t xml:space="preserve"> </w:t>
      </w:r>
      <w:r>
        <w:rPr>
          <w:bCs/>
          <w:b/>
        </w:rPr>
        <w:t xml:space="preserve">Banker</w:t>
      </w:r>
      <w:r>
        <w:t xml:space="preserve"> </w:t>
      </w:r>
      <w:r>
        <w:t xml:space="preserve">to spend more time understanding the nuanced needs of entrepreneurs rather than getting bogged down in paperwork. The integration of blockchain technology for secure transactions further enhances trust, a vital commodity for any</w:t>
      </w:r>
      <w:r>
        <w:t xml:space="preserve"> </w:t>
      </w:r>
      <w:r>
        <w:rPr>
          <w:bCs/>
          <w:b/>
        </w:rPr>
        <w:t xml:space="preserve">Banker</w:t>
      </w:r>
      <w:r>
        <w:t xml:space="preserve"> </w:t>
      </w:r>
      <w:r>
        <w:t xml:space="preserve">operating in this jurisdiction.</w:t>
      </w:r>
    </w:p>
    <w:bookmarkEnd w:id="23"/>
    <w:bookmarkStart w:id="24" w:name="Xfd6c0bd97f3326077207f184e0151b9cadf8202"/>
    <w:p>
      <w:pPr>
        <w:pStyle w:val="Heading2"/>
      </w:pPr>
      <w:r>
        <w:t xml:space="preserve">4. Regulatory Compliance and Ethical Standards</w:t>
      </w:r>
    </w:p>
    <w:p>
      <w:pPr>
        <w:pStyle w:val="FirstParagraph"/>
      </w:pPr>
      <w:r>
        <w:t xml:space="preserve">Australia maintains strict regulatory frameworks governing financial services. For every</w:t>
      </w:r>
      <w:r>
        <w:t xml:space="preserve"> </w:t>
      </w:r>
      <w:r>
        <w:rPr>
          <w:bCs/>
          <w:b/>
        </w:rPr>
        <w:t xml:space="preserve">Banker</w:t>
      </w:r>
      <w:r>
        <w:t xml:space="preserve">, compliance with the Australian Securities and Investments Commission (ASIC) is paramount. In</w:t>
      </w:r>
      <w:r>
        <w:t xml:space="preserve"> </w:t>
      </w:r>
      <w:r>
        <w:rPr>
          <w:bCs/>
          <w:b/>
        </w:rPr>
        <w:t xml:space="preserve">Australia Melbourne</w:t>
      </w:r>
      <w:r>
        <w:t xml:space="preserve">, where consumer protection laws are rigorously enforced, ethical conduct is not optional—it is foundational.</w:t>
      </w:r>
    </w:p>
    <w:p>
      <w:pPr>
        <w:pStyle w:val="BodyText"/>
      </w:pPr>
      <w:r>
        <w:t xml:space="preserve">This case study highlights a scenario where a dedicated</w:t>
      </w:r>
      <w:r>
        <w:t xml:space="preserve"> </w:t>
      </w:r>
      <w:r>
        <w:rPr>
          <w:bCs/>
          <w:b/>
        </w:rPr>
        <w:t xml:space="preserve">Banker</w:t>
      </w:r>
      <w:r>
        <w:t xml:space="preserve"> </w:t>
      </w:r>
      <w:r>
        <w:t xml:space="preserve">identified potential mis-selling of insurance products by a previous provider. By intervening and educating the client on their rights under Australian law, the banker strengthened the bank’s reputation in</w:t>
      </w:r>
      <w:r>
        <w:t xml:space="preserve"> </w:t>
      </w:r>
      <w:r>
        <w:rPr>
          <w:bCs/>
          <w:b/>
        </w:rPr>
        <w:t xml:space="preserve">Australia Melbourne</w:t>
      </w:r>
      <w:r>
        <w:t xml:space="preserve">. This example illustrates that ethical diligence is key to long-term success. A</w:t>
      </w:r>
      <w:r>
        <w:t xml:space="preserve"> </w:t>
      </w:r>
      <w:r>
        <w:rPr>
          <w:bCs/>
          <w:b/>
        </w:rPr>
        <w:t xml:space="preserve">Banker</w:t>
      </w:r>
      <w:r>
        <w:t xml:space="preserve"> </w:t>
      </w:r>
      <w:r>
        <w:t xml:space="preserve">who prioritizes transparency builds lasting relationships, which are essential in a community-driven city like Melbourne.</w:t>
      </w:r>
    </w:p>
    <w:bookmarkEnd w:id="24"/>
    <w:bookmarkStart w:id="25" w:name="customer-centric-service-models"/>
    <w:p>
      <w:pPr>
        <w:pStyle w:val="Heading2"/>
      </w:pPr>
      <w:r>
        <w:t xml:space="preserve">5. Customer-Centric Service Models</w:t>
      </w:r>
    </w:p>
    <w:p>
      <w:pPr>
        <w:pStyle w:val="FirstParagraph"/>
      </w:pPr>
      <w:r>
        <w:t xml:space="preserve">The shift towards customer-centricity is evident in how banks operate across</w:t>
      </w:r>
      <w:r>
        <w:t xml:space="preserve"> </w:t>
      </w:r>
      <w:r>
        <w:rPr>
          <w:bCs/>
          <w:b/>
        </w:rPr>
        <w:t xml:space="preserve">Australia Melbourne</w:t>
      </w:r>
      <w:r>
        <w:t xml:space="preserve">. MetroCity Bank redesigned its branch layout to resemble a lounge rather than a traditional office, encouraging open dialogue between the</w:t>
      </w:r>
      <w:r>
        <w:t xml:space="preserve"> </w:t>
      </w:r>
      <w:r>
        <w:rPr>
          <w:bCs/>
          <w:b/>
        </w:rPr>
        <w:t xml:space="preserve">Banker</w:t>
      </w:r>
      <w:r>
        <w:t xml:space="preserve"> </w:t>
      </w:r>
      <w:r>
        <w:t xml:space="preserve">and the client. This approach recognizes that personal interaction remains valuable even in a digital age.</w:t>
      </w:r>
    </w:p>
    <w:p>
      <w:pPr>
        <w:pStyle w:val="BodyText"/>
      </w:pPr>
      <w:r>
        <w:t xml:space="preserve">In addition, cultural competence is crucial. Given the multicultural nature of</w:t>
      </w:r>
      <w:r>
        <w:t xml:space="preserve"> </w:t>
      </w:r>
      <w:r>
        <w:rPr>
          <w:bCs/>
          <w:b/>
        </w:rPr>
        <w:t xml:space="preserve">Australia Melbourne</w:t>
      </w:r>
      <w:r>
        <w:t xml:space="preserve">, every</w:t>
      </w:r>
      <w:r>
        <w:t xml:space="preserve"> </w:t>
      </w:r>
      <w:r>
        <w:rPr>
          <w:bCs/>
          <w:b/>
        </w:rPr>
        <w:t xml:space="preserve">Banker</w:t>
      </w:r>
      <w:r>
        <w:t xml:space="preserve"> </w:t>
      </w:r>
      <w:r>
        <w:t xml:space="preserve">must be equipped to communicate with clients from diverse backgrounds. Language barriers and cultural nuances can impact financial decisions. Therefore, training programs now include modules on cross-cultural communication for all staff members designated as client-facing bank officers.</w:t>
      </w:r>
    </w:p>
    <w:bookmarkEnd w:id="25"/>
    <w:bookmarkStart w:id="26" w:name="sustainability-and-esg-integration"/>
    <w:p>
      <w:pPr>
        <w:pStyle w:val="Heading2"/>
      </w:pPr>
      <w:r>
        <w:t xml:space="preserve">6. Sustainability and ESG Integration</w:t>
      </w:r>
    </w:p>
    <w:p>
      <w:pPr>
        <w:pStyle w:val="FirstParagraph"/>
      </w:pPr>
      <w:r>
        <w:t xml:space="preserve">Sustainable Finance has become a significant trend in</w:t>
      </w:r>
      <w:r>
        <w:t xml:space="preserve"> </w:t>
      </w:r>
      <w:r>
        <w:rPr>
          <w:bCs/>
          <w:b/>
        </w:rPr>
        <w:t xml:space="preserve">Australia Melbourne</w:t>
      </w:r>
      <w:r>
        <w:t xml:space="preserve">. Investors are increasingly seeking green bonds and environmentally responsible investment options. The modern</w:t>
      </w:r>
      <w:r>
        <w:t xml:space="preserve"> </w:t>
      </w:r>
      <w:r>
        <w:rPr>
          <w:bCs/>
          <w:b/>
        </w:rPr>
        <w:t xml:space="preserve">Banker</w:t>
      </w:r>
      <w:r>
        <w:t xml:space="preserve"> </w:t>
      </w:r>
      <w:r>
        <w:t xml:space="preserve">must be knowledgeable about Environmental, Social, and Governance (ESG) criteria to advise clients appropriately.</w:t>
      </w:r>
    </w:p>
    <w:p>
      <w:pPr>
        <w:pStyle w:val="BodyText"/>
      </w:pPr>
      <w:r>
        <w:t xml:space="preserve">MetroCity Bank introduced a specialized advisory service for green investments tailored specifically for residents of</w:t>
      </w:r>
      <w:r>
        <w:t xml:space="preserve"> </w:t>
      </w:r>
      <w:r>
        <w:rPr>
          <w:bCs/>
          <w:b/>
        </w:rPr>
        <w:t xml:space="preserve">Australia Melbourne</w:t>
      </w:r>
      <w:r>
        <w:t xml:space="preserve">. This initiative allowed the bank to capture a niche market segment. By aligning financial goals with environmental values, the</w:t>
      </w:r>
      <w:r>
        <w:t xml:space="preserve"> </w:t>
      </w:r>
      <w:r>
        <w:rPr>
          <w:bCs/>
          <w:b/>
        </w:rPr>
        <w:t xml:space="preserve">Banker</w:t>
      </w:r>
      <w:r>
        <w:t xml:space="preserve"> </w:t>
      </w:r>
      <w:r>
        <w:t xml:space="preserve">helped clients contribute to local sustainability projects while achieving competitive returns.</w:t>
      </w:r>
    </w:p>
    <w:bookmarkEnd w:id="26"/>
    <w:bookmarkStart w:id="27" w:name="challenges-and-future-outlook"/>
    <w:p>
      <w:pPr>
        <w:pStyle w:val="Heading2"/>
      </w:pPr>
      <w:r>
        <w:t xml:space="preserve">7. Challenges and Future Outlook</w:t>
      </w:r>
    </w:p>
    <w:p>
      <w:pPr>
        <w:pStyle w:val="FirstParagraph"/>
      </w:pPr>
      <w:r>
        <w:t xml:space="preserve">Despite these advancements, challenges remain for every</w:t>
      </w:r>
      <w:r>
        <w:t xml:space="preserve"> </w:t>
      </w:r>
      <w:r>
        <w:rPr>
          <w:bCs/>
          <w:b/>
        </w:rPr>
        <w:t xml:space="preserve">Banker</w:t>
      </w:r>
      <w:r>
        <w:t xml:space="preserve">. Cybersecurity threats are escalating globally, and</w:t>
      </w:r>
      <w:r>
        <w:t xml:space="preserve"> </w:t>
      </w:r>
      <w:r>
        <w:rPr>
          <w:bCs/>
          <w:b/>
        </w:rPr>
        <w:t xml:space="preserve">Australia Melbourne</w:t>
      </w:r>
      <w:r>
        <w:t xml:space="preserve"> </w:t>
      </w:r>
      <w:r>
        <w:t xml:space="preserve">is no exception. Banks must continuously invest in cybersecurity infrastructure to protect sensitive client data.</w:t>
      </w:r>
    </w:p>
    <w:p>
      <w:pPr>
        <w:pStyle w:val="BodyText"/>
      </w:pPr>
      <w:r>
        <w:t xml:space="preserve">Furthermore, competition from Non-Bank Financial Institutions (NBFIs) is intensifying. These agile competitors often offer faster digital solutions, forcing traditional banks to innovate rapidly. The future of the</w:t>
      </w:r>
      <w:r>
        <w:t xml:space="preserve"> </w:t>
      </w:r>
      <w:r>
        <w:rPr>
          <w:bCs/>
          <w:b/>
        </w:rPr>
        <w:t xml:space="preserve">Banker</w:t>
      </w:r>
      <w:r>
        <w:t xml:space="preserve"> </w:t>
      </w:r>
      <w:r>
        <w:t xml:space="preserve">in</w:t>
      </w:r>
      <w:r>
        <w:t xml:space="preserve"> </w:t>
      </w:r>
      <w:r>
        <w:rPr>
          <w:bCs/>
          <w:b/>
        </w:rPr>
        <w:t xml:space="preserve">Australia Melbourne</w:t>
      </w:r>
      <w:r>
        <w:t xml:space="preserve"> </w:t>
      </w:r>
      <w:r>
        <w:t xml:space="preserve">will likely involve hybrid roles combining financial expertise with data analytics skills.</w:t>
      </w:r>
    </w:p>
    <w:bookmarkEnd w:id="27"/>
    <w:bookmarkStart w:id="28" w:name="conclusion"/>
    <w:p>
      <w:pPr>
        <w:pStyle w:val="Heading2"/>
      </w:pPr>
      <w:r>
        <w:t xml:space="preserve">8. Conclusion</w:t>
      </w:r>
    </w:p>
    <w:p>
      <w:pPr>
        <w:pStyle w:val="FirstParagraph"/>
      </w:pPr>
      <w:r>
        <w:t xml:space="preserve">In conclusion, this case study demonstrates that the role of the</w:t>
      </w:r>
      <w:r>
        <w:t xml:space="preserve"> </w:t>
      </w:r>
      <w:r>
        <w:rPr>
          <w:bCs/>
          <w:b/>
        </w:rPr>
        <w:t xml:space="preserve">Banker</w:t>
      </w:r>
      <w:r>
        <w:t xml:space="preserve"> </w:t>
      </w:r>
      <w:r>
        <w:t xml:space="preserve">is dynamic and multifaceted, particularly within the unique context of</w:t>
      </w:r>
      <w:r>
        <w:t xml:space="preserve"> </w:t>
      </w:r>
      <w:r>
        <w:rPr>
          <w:bCs/>
          <w:b/>
        </w:rPr>
        <w:t xml:space="preserve">Australia Melbourne</w:t>
      </w:r>
      <w:r>
        <w:t xml:space="preserve">. Success requires a blend of technological proficiency, ethical integrity, and deep local market understanding. As financial landscapes continue to evolve in</w:t>
      </w:r>
      <w:r>
        <w:t xml:space="preserve"> </w:t>
      </w:r>
      <w:r>
        <w:rPr>
          <w:bCs/>
          <w:b/>
        </w:rPr>
        <w:t xml:space="preserve">Australia Melbourne</w:t>
      </w:r>
      <w:r>
        <w:t xml:space="preserve">, professionals acting as bankers must remain adaptable and committed to lifelong learning.</w:t>
      </w:r>
    </w:p>
    <w:p>
      <w:pPr>
        <w:pStyle w:val="BodyText"/>
      </w:pPr>
      <w:r>
        <w:t xml:space="preserve">The findings suggest that banks prioritizing customer relationships and sustainable practices will thrive. For any individual aspiring to be a successful</w:t>
      </w:r>
      <w:r>
        <w:t xml:space="preserve"> </w:t>
      </w:r>
      <w:r>
        <w:rPr>
          <w:bCs/>
          <w:b/>
        </w:rPr>
        <w:t xml:space="preserve">Banker</w:t>
      </w:r>
      <w:r>
        <w:t xml:space="preserve"> </w:t>
      </w:r>
      <w:r>
        <w:t xml:space="preserve">in this region, embracing change and leveraging local insights in</w:t>
      </w:r>
      <w:r>
        <w:t xml:space="preserve"> </w:t>
      </w:r>
      <w:r>
        <w:rPr>
          <w:bCs/>
          <w:b/>
        </w:rPr>
        <w:t xml:space="preserve">Australia Melbourne</w:t>
      </w:r>
      <w:r>
        <w:t xml:space="preserve"> </w:t>
      </w:r>
      <w:r>
        <w:t xml:space="preserve">are essential steps toward professional excellence. The future of banking is not just about money; it is about building resilient communities through responsible financial stewardship.</w:t>
      </w:r>
    </w:p>
    <w:bookmarkEnd w:id="28"/>
    <w:bookmarkStart w:id="29" w:name="key-takeaways-for-practitioners"/>
    <w:p>
      <w:pPr>
        <w:pStyle w:val="Heading2"/>
      </w:pPr>
      <w:r>
        <w:t xml:space="preserve">9. Key Takeaways for Practitioners</w:t>
      </w:r>
    </w:p>
    <w:p>
      <w:pPr>
        <w:numPr>
          <w:ilvl w:val="0"/>
          <w:numId w:val="1001"/>
        </w:numPr>
        <w:pStyle w:val="Compact"/>
      </w:pPr>
      <w:r>
        <w:rPr>
          <w:bCs/>
          <w:b/>
        </w:rPr>
        <w:t xml:space="preserve">Digital Fluency:</w:t>
      </w:r>
      <w:r>
        <w:t xml:space="preserve">Banker must master digital tools to enhance efficiency in</w:t>
      </w:r>
      <w:r>
        <w:t xml:space="preserve"> </w:t>
      </w:r>
      <w:r>
        <w:rPr>
          <w:bCs/>
          <w:b/>
        </w:rPr>
        <w:t xml:space="preserve">Australia Melbourne</w:t>
      </w:r>
      <w:r>
        <w:t xml:space="preserve">.</w:t>
      </w:r>
    </w:p>
    <w:p>
      <w:pPr>
        <w:numPr>
          <w:ilvl w:val="0"/>
          <w:numId w:val="1001"/>
        </w:numPr>
        <w:pStyle w:val="Compact"/>
      </w:pPr>
      <w:r>
        <w:t xml:space="preserve">Ethical Rigor:Strict adherence to ASIC regulations is mandatory for trust-building.</w:t>
      </w:r>
    </w:p>
    <w:p>
      <w:pPr>
        <w:numPr>
          <w:ilvl w:val="0"/>
          <w:numId w:val="1001"/>
        </w:numPr>
        <w:pStyle w:val="Compact"/>
      </w:pPr>
      <w:r>
        <w:rPr>
          <w:bCs/>
          <w:b/>
        </w:rPr>
        <w:t xml:space="preserve">Cultural Awareness:</w:t>
      </w:r>
      <w:r>
        <w:t xml:space="preserve">Understanding the diverse demographics of</w:t>
      </w:r>
      <w:r>
        <w:t xml:space="preserve"> </w:t>
      </w:r>
      <w:r>
        <w:rPr>
          <w:bCs/>
          <w:b/>
        </w:rPr>
        <w:t xml:space="preserve">Australia Melbourne</w:t>
      </w:r>
      <w:r>
        <w:t xml:space="preserve"> </w:t>
      </w:r>
      <w:r>
        <w:t xml:space="preserve">improves client satisfaction.</w:t>
      </w:r>
    </w:p>
    <w:p>
      <w:pPr>
        <w:numPr>
          <w:ilvl w:val="0"/>
          <w:numId w:val="1001"/>
        </w:numPr>
        <w:pStyle w:val="Compact"/>
      </w:pPr>
      <w:r>
        <w:t xml:space="preserve">Sustainability Focus:ESG integration is becoming a core requirement for modern advisory roles.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Australia Melbourne</dc:title>
  <dc:creator/>
  <dc:language>en</dc:language>
  <cp:keywords/>
  <dcterms:created xsi:type="dcterms:W3CDTF">2026-07-29T13:54:16Z</dcterms:created>
  <dcterms:modified xsi:type="dcterms:W3CDTF">2026-07-29T13:54:16Z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