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Belgium</w:t>
      </w:r>
      <w:r>
        <w:t xml:space="preserve"> </w:t>
      </w:r>
      <w:r>
        <w:t xml:space="preserve">Brussels</w:t>
      </w:r>
    </w:p>
    <w:bookmarkStart w:id="28" w:name="X4582b4efb2b3a8784462b635ed09043e221a937"/>
    <w:p>
      <w:pPr>
        <w:pStyle w:val="Heading1"/>
      </w:pPr>
      <w:r>
        <w:t xml:space="preserve">Case Study: The Evolution of the Banker in Belgium Brussels</w:t>
      </w:r>
    </w:p>
    <w:p>
      <w:pPr>
        <w:pStyle w:val="FirstParagraph"/>
      </w:pPr>
      <w:r>
        <w:rPr>
          <w:bCs/>
          <w:b/>
        </w:rPr>
        <w:t xml:space="preserve">Date:</w:t>
      </w:r>
      <w:r>
        <w:t xml:space="preserve"> </w:t>
      </w:r>
      <w:r>
        <w:t xml:space="preserve">October 2023</w:t>
      </w:r>
      <w:r>
        <w:br/>
      </w:r>
      <w:r>
        <w:rPr>
          <w:bCs/>
          <w:b/>
        </w:rPr>
        <w:t xml:space="preserve">To:</w:t>
      </w:r>
      <w:r>
        <w:t xml:space="preserve"> </w:t>
      </w:r>
      <w:r>
        <w:t xml:space="preserve">Financial Sector Stakeholders and Regulatory Bodies</w:t>
      </w:r>
      <w:r>
        <w:br/>
      </w:r>
      <w:r>
        <w:t xml:space="preserve">Strategic Analysis Division</w:t>
      </w:r>
    </w:p>
    <w:bookmarkStart w:id="20" w:name="executive-summary"/>
    <w:p>
      <w:pPr>
        <w:pStyle w:val="Heading2"/>
      </w:pPr>
      <w:r>
        <w:t xml:space="preserve">Executive Summary</w:t>
      </w:r>
    </w:p>
    <w:p>
      <w:pPr>
        <w:pStyle w:val="FirstParagraph"/>
      </w:pPr>
      <w:r>
        <w:t xml:space="preserve">The financial landscape of Belgium Brussels has undergone a seismic shift in the last decade. As the de facto capital of Europe, hosting both national institutions and critical European Union agencies, Brussels serves as a unique microcosm for global banking trends. This case study examines the role of the</w:t>
      </w:r>
      <w:r>
        <w:t xml:space="preserve"> </w:t>
      </w:r>
      <w:r>
        <w:rPr>
          <w:bCs/>
          <w:b/>
        </w:rPr>
        <w:t xml:space="preserve">Banker</w:t>
      </w:r>
      <w:r>
        <w:t xml:space="preserve"> </w:t>
      </w:r>
      <w:r>
        <w:t xml:space="preserve">within this specific geopolitical context. It analyzes how regulatory pressures from both Belgian federal authorities and EU directives are reshaping job descriptions, operational workflows, and strategic priorities for financial professionals operating in the city.</w:t>
      </w:r>
    </w:p>
    <w:bookmarkEnd w:id="20"/>
    <w:bookmarkStart w:id="21" w:name="X399e68e288583c8e9fd980f837335ea125d229f"/>
    <w:p>
      <w:pPr>
        <w:pStyle w:val="Heading2"/>
      </w:pPr>
      <w:r>
        <w:t xml:space="preserve">1. Introduction: The Unique Context of Belgium Brussels</w:t>
      </w:r>
    </w:p>
    <w:p>
      <w:pPr>
        <w:pStyle w:val="FirstParagraph"/>
      </w:pPr>
      <w:r>
        <w:t xml:space="preserve">To understand the modern</w:t>
      </w:r>
      <w:r>
        <w:t xml:space="preserve"> </w:t>
      </w:r>
      <w:r>
        <w:rPr>
          <w:bCs/>
          <w:b/>
        </w:rPr>
        <w:t xml:space="preserve">Banker</w:t>
      </w:r>
      <w:r>
        <w:t xml:space="preserve">, one must first appreciate the distinct environment of</w:t>
      </w:r>
      <w:r>
        <w:t xml:space="preserve"> </w:t>
      </w:r>
      <w:r>
        <w:rPr>
          <w:bCs/>
          <w:b/>
        </w:rPr>
        <w:t xml:space="preserve">Belgium Brussels</w:t>
      </w:r>
      <w:r>
        <w:t xml:space="preserve">. Unlike London, which operates under a common law tradition with significant global financial autonomy, or Paris, which has a strong state-centric banking history, Brussels is defined by its supranational character. It is the intersection of Belgian national interest and European integration.</w:t>
      </w:r>
    </w:p>
    <w:p>
      <w:pPr>
        <w:pStyle w:val="BodyText"/>
      </w:pPr>
      <w:r>
        <w:t xml:space="preserve">In this dense urban center of institutions—home to the European Commission, the ECB’s liaison offices (though Frankfurt holds primary supervision), and numerous international NGOs—the pressure on financial institutions to maintain political neutrality while adhering to complex compliance standards is immense. The</w:t>
      </w:r>
      <w:r>
        <w:t xml:space="preserve"> </w:t>
      </w:r>
      <w:r>
        <w:rPr>
          <w:bCs/>
          <w:b/>
        </w:rPr>
        <w:t xml:space="preserve">Banker</w:t>
      </w:r>
      <w:r>
        <w:t xml:space="preserve"> </w:t>
      </w:r>
      <w:r>
        <w:t xml:space="preserve">in</w:t>
      </w:r>
      <w:r>
        <w:t xml:space="preserve"> </w:t>
      </w:r>
      <w:r>
        <w:rPr>
          <w:bCs/>
          <w:b/>
        </w:rPr>
        <w:t xml:space="preserve">Belgium Brussels</w:t>
      </w:r>
      <w:r>
        <w:t xml:space="preserve"> </w:t>
      </w:r>
      <w:r>
        <w:t xml:space="preserve">is not merely a financial advisor; they are often a geopolitical risk analyst, a compliance officer, and a strategic communicator all at once.</w:t>
      </w:r>
    </w:p>
    <w:bookmarkEnd w:id="21"/>
    <w:bookmarkStart w:id="22" w:name="X700d836e118b61afb3ca5b73c3ed8eb25fcc3e1"/>
    <w:p>
      <w:pPr>
        <w:pStyle w:val="Heading2"/>
      </w:pPr>
      <w:r>
        <w:t xml:space="preserve">2. Regulatory Complexity as the Primary Driver</w:t>
      </w:r>
    </w:p>
    <w:p>
      <w:pPr>
        <w:pStyle w:val="FirstParagraph"/>
      </w:pPr>
      <w:r>
        <w:rPr>
          <w:bCs/>
          <w:b/>
        </w:rPr>
        <w:t xml:space="preserve">Key Challenge:</w:t>
      </w:r>
      <w:r>
        <w:br/>
      </w:r>
      <w:r>
        <w:t xml:space="preserve">The primary challenge facing the modern Banker is navigating the dual-layer regulatory framework of Belgian national law and extensive European Union directives.</w:t>
      </w:r>
    </w:p>
    <w:p>
      <w:pPr>
        <w:pStyle w:val="BodyText"/>
      </w:pPr>
      <w:r>
        <w:t xml:space="preserve">The role of the Banker has been fundamentally altered by the post-2008 regulatory crackdowns. In</w:t>
      </w:r>
      <w:r>
        <w:t xml:space="preserve"> </w:t>
      </w:r>
      <w:r>
        <w:rPr>
          <w:bCs/>
          <w:b/>
        </w:rPr>
        <w:t xml:space="preserve">Belgium Brussels</w:t>
      </w:r>
      <w:r>
        <w:t xml:space="preserve">, banks must adhere to regulations set by the National Bank of Belgium (NBB) while simultaneously complying with EU-wide standards such as GDPR, PSD2 (Payment Services Directive 2), and MiFID II. For a Banker, this means that technical knowledge is no longer sufficient; they must possess a sophisticated understanding of legal frameworks.</w:t>
      </w:r>
    </w:p>
    <w:p>
      <w:pPr>
        <w:pStyle w:val="BodyText"/>
      </w:pPr>
      <w:r>
        <w:t xml:space="preserve">A significant aspect of this case study is the impact of Anti-Money Laundering (AML) and Countering the Financing of Terrorism (CFT) regulations. Given Brussels’ status as an international hub, it attracts significant capital flows from diverse global sources. Consequently, Bankers in this region are required to perform enhanced due diligence on clients that might be considered "standard" in other jurisdictions. This has led to a bloated compliance department within major banks headquartered or operating in</w:t>
      </w:r>
      <w:r>
        <w:t xml:space="preserve"> </w:t>
      </w:r>
      <w:r>
        <w:rPr>
          <w:bCs/>
          <w:b/>
        </w:rPr>
        <w:t xml:space="preserve">Belgium Brussels</w:t>
      </w:r>
      <w:r>
        <w:t xml:space="preserve">, with Bankers spending up to 40% of their time on regulatory reporting rather than revenue-generating activities.</w:t>
      </w:r>
    </w:p>
    <w:bookmarkEnd w:id="22"/>
    <w:bookmarkStart w:id="23" w:name="Xe1a91864e1e4c4a66e78b4fa607e1f1287061b8"/>
    <w:p>
      <w:pPr>
        <w:pStyle w:val="Heading2"/>
      </w:pPr>
      <w:r>
        <w:t xml:space="preserve">3. The Shift from Transactional to Advisory Services</w:t>
      </w:r>
    </w:p>
    <w:p>
      <w:pPr>
        <w:pStyle w:val="FirstParagraph"/>
      </w:pPr>
      <w:r>
        <w:t xml:space="preserve">In the past, a Banker’s primary value proposition was access to capital and transaction execution. However, in the competitive market of</w:t>
      </w:r>
      <w:r>
        <w:t xml:space="preserve"> </w:t>
      </w:r>
      <w:r>
        <w:rPr>
          <w:bCs/>
          <w:b/>
        </w:rPr>
        <w:t xml:space="preserve">Belgium Brussels</w:t>
      </w:r>
      <w:r>
        <w:t xml:space="preserve">, margin compression has forced a pivot toward advisory services. The modern Banker is expected to provide holistic solutions that encompass ESG (Environmental, Social, and Governance) investing.</w:t>
      </w:r>
    </w:p>
    <w:p>
      <w:pPr>
        <w:pStyle w:val="BodyText"/>
      </w:pPr>
      <w:r>
        <w:t xml:space="preserve">This shift is particularly pronounced in corporate banking within the region. Many multinational corporations headquartered in</w:t>
      </w:r>
      <w:r>
        <w:t xml:space="preserve"> </w:t>
      </w:r>
      <w:r>
        <w:rPr>
          <w:bCs/>
          <w:b/>
        </w:rPr>
        <w:t xml:space="preserve">Belgium Brussels</w:t>
      </w:r>
      <w:r>
        <w:t xml:space="preserve"> </w:t>
      </w:r>
      <w:r>
        <w:t xml:space="preserve">have sustainability mandates imposed by EU taxonomy regulations. Therefore, a Banker must now be proficient in green finance instruments. They are required to structure loans and bonds that meet strict environmental criteria, ensuring that their clients’ investments align with the broader European Green Deal objectives. This requires a Banker to collaborate closely with legal teams, sustainability experts, and risk managers.</w:t>
      </w:r>
    </w:p>
    <w:bookmarkEnd w:id="23"/>
    <w:bookmarkStart w:id="24" w:name="Xbc1d47106519f80c3edd7c27af21b4cf818660a"/>
    <w:p>
      <w:pPr>
        <w:pStyle w:val="Heading2"/>
      </w:pPr>
      <w:r>
        <w:t xml:space="preserve">4. Digital Transformation and Fintech Integration</w:t>
      </w:r>
    </w:p>
    <w:p>
      <w:pPr>
        <w:pStyle w:val="FirstParagraph"/>
      </w:pPr>
      <w:r>
        <w:t xml:space="preserve">The presence of a vibrant fintech sector in Brussels has pressured traditional banks to accelerate digital transformation. The case study highlights that the Banker who resists technology is becoming obsolete. In</w:t>
      </w:r>
      <w:r>
        <w:t xml:space="preserve"> </w:t>
      </w:r>
      <w:r>
        <w:rPr>
          <w:bCs/>
          <w:b/>
        </w:rPr>
        <w:t xml:space="preserve">Belgium Brussels</w:t>
      </w:r>
      <w:r>
        <w:t xml:space="preserve">, there is a growing demand for Bankers who can bridge the gap between legacy banking infrastructure and modern API-driven fintech solutions.</w:t>
      </w:r>
    </w:p>
    <w:p>
      <w:pPr>
        <w:pStyle w:val="BodyText"/>
      </w:pPr>
      <w:r>
        <w:t xml:space="preserve">We observe a trend where relationship managers, formerly focused solely on face-to-face meetings, are now utilizing AI-driven analytics platforms to assess creditworthiness and identify cross-selling opportunities. The Banker in this region is expected to be digitally literate, capable of guiding traditional corporate clients through digital onboarding processes while maintaining the high-touch service standards expected by wealthy private clients in the capital.</w:t>
      </w:r>
    </w:p>
    <w:bookmarkEnd w:id="24"/>
    <w:bookmarkStart w:id="25" w:name="talent-acquisition-and-soft-skills"/>
    <w:p>
      <w:pPr>
        <w:pStyle w:val="Heading2"/>
      </w:pPr>
      <w:r>
        <w:t xml:space="preserve">5. Talent Acquisition and Soft Skills</w:t>
      </w:r>
    </w:p>
    <w:p>
      <w:pPr>
        <w:pStyle w:val="FirstParagraph"/>
      </w:pPr>
      <w:r>
        <w:t xml:space="preserve">The linguistic and cultural diversity of</w:t>
      </w:r>
      <w:r>
        <w:t xml:space="preserve"> </w:t>
      </w:r>
      <w:r>
        <w:rPr>
          <w:bCs/>
          <w:b/>
        </w:rPr>
        <w:t xml:space="preserve">Belgium Brussels</w:t>
      </w:r>
      <w:r>
        <w:t xml:space="preserve">,</w:t>
      </w:r>
      <w:r>
        <w:t xml:space="preserve"> </w:t>
      </w:r>
      <w:r>
        <w:t xml:space="preserve">necessitates a specific skill set for Bankers. Fluency in French, Dutch, and English is often the baseline requirement. However, beyond language, cultural intelligence is paramount. A Banker operating in this environment interacts with stakeholders from across the continent.</w:t>
      </w:r>
    </w:p>
    <w:p>
      <w:pPr>
        <w:pStyle w:val="BodyText"/>
      </w:pPr>
      <w:r>
        <w:t xml:space="preserve">The case study reveals that emotional intelligence and negotiation skills have become more valuable than pure quantitative analysis for senior roles. The ability to navigate political sensitivities and understand the nuanced expectations of different European nationalities is critical. For instance, a Banker dealing with state-owned enterprises in Belgium may face different procedural hurdles compared to those dealing with private equity firms from Northern Europe.</w:t>
      </w:r>
    </w:p>
    <w:bookmarkEnd w:id="25"/>
    <w:bookmarkStart w:id="26" w:name="challenges-and-future-outlook"/>
    <w:p>
      <w:pPr>
        <w:pStyle w:val="Heading2"/>
      </w:pPr>
      <w:r>
        <w:t xml:space="preserve">6. Challenges and Future Outlook</w:t>
      </w:r>
    </w:p>
    <w:p>
      <w:pPr>
        <w:pStyle w:val="FirstParagraph"/>
      </w:pPr>
      <w:r>
        <w:t xml:space="preserve">Looking ahead, the Banker in</w:t>
      </w:r>
      <w:r>
        <w:t xml:space="preserve"> </w:t>
      </w:r>
      <w:r>
        <w:rPr>
          <w:bCs/>
          <w:b/>
        </w:rPr>
        <w:t xml:space="preserve">Belgium Brussels</w:t>
      </w:r>
      <w:r>
        <w:t xml:space="preserve">,</w:t>
      </w:r>
      <w:r>
        <w:t xml:space="preserve"> </w:t>
      </w:r>
      <w:r>
        <w:t xml:space="preserve">faced several persistent challenges:</w:t>
      </w:r>
    </w:p>
    <w:p>
      <w:pPr>
        <w:numPr>
          <w:ilvl w:val="0"/>
          <w:numId w:val="1001"/>
        </w:numPr>
        <w:pStyle w:val="Compact"/>
      </w:pPr>
      <w:r>
        <w:rPr>
          <w:bCs/>
          <w:b/>
        </w:rPr>
        <w:t xml:space="preserve">Talent Shortage:</w:t>
      </w:r>
      <w:r>
        <w:t xml:space="preserve"> </w:t>
      </w:r>
      <w:r>
        <w:t xml:space="preserve">There is a significant gap between the skills banks require (data analytics, regulatory knowledge) and those available in the local labor market.</w:t>
      </w:r>
    </w:p>
    <w:p>
      <w:pPr>
        <w:numPr>
          <w:ilvl w:val="0"/>
          <w:numId w:val="1001"/>
        </w:numPr>
        <w:pStyle w:val="Compact"/>
      </w:pPr>
      <w:r>
        <w:rPr>
          <w:bCs/>
          <w:b/>
        </w:rPr>
        <w:t xml:space="preserve">Cybersecurity Risks:</w:t>
      </w:r>
      <w:r>
        <w:t xml:space="preserve"> </w:t>
      </w:r>
      <w:r>
        <w:t xml:space="preserve">As Brussels remains a prime target for cyber-attacks due to its political significance, Bankers must be vigilant advocates for robust cybersecurity protocols within their institutions.</w:t>
      </w:r>
    </w:p>
    <w:p>
      <w:pPr>
        <w:numPr>
          <w:ilvl w:val="0"/>
          <w:numId w:val="1001"/>
        </w:numPr>
        <w:pStyle w:val="Compact"/>
      </w:pPr>
      <w:r>
        <w:rPr>
          <w:bCs/>
          <w:b/>
        </w:rPr>
        <w:t xml:space="preserve">Economic Volatility:</w:t>
      </w:r>
      <w:r>
        <w:t xml:space="preserve"> </w:t>
      </w:r>
      <w:r>
        <w:t xml:space="preserve">Geopolitical tensions in Europe require Bankers to maintain agile risk management strategies that can adapt quickly to changing trade policies and sanctions regimes.</w:t>
      </w:r>
    </w:p>
    <w:bookmarkEnd w:id="26"/>
    <w:bookmarkStart w:id="27" w:name="conclusion"/>
    <w:p>
      <w:pPr>
        <w:pStyle w:val="Heading2"/>
      </w:pPr>
      <w:r>
        <w:t xml:space="preserve">7. Conclusion</w:t>
      </w:r>
    </w:p>
    <w:p>
      <w:pPr>
        <w:pStyle w:val="FirstParagraph"/>
      </w:pPr>
      <w:r>
        <w:t xml:space="preserve">In conclusion, the role of the Banker in</w:t>
      </w:r>
      <w:r>
        <w:t xml:space="preserve"> </w:t>
      </w:r>
      <w:r>
        <w:rPr>
          <w:bCs/>
          <w:b/>
        </w:rPr>
        <w:t xml:space="preserve">Belgium Brussels</w:t>
      </w:r>
      <w:r>
        <w:t xml:space="preserve">,</w:t>
      </w:r>
      <w:r>
        <w:t xml:space="preserve"> </w:t>
      </w:r>
      <w:r>
        <w:t xml:space="preserve">was transformed from a simple facilitator of financial transactions to a complex strategic partner navigating a labyrinth of regulatory, technological, and geopolitical challenges. Success in this market no longer depends solely on financial acumen but requires a multidisciplinary approach combining legal compliance awareness, digital fluency, and high-level cultural intelligence.</w:t>
      </w:r>
    </w:p>
    <w:p>
      <w:pPr>
        <w:pStyle w:val="BodyText"/>
      </w:pPr>
      <w:r>
        <w:t xml:space="preserve">For institutions aiming to thrive in</w:t>
      </w:r>
      <w:r>
        <w:t xml:space="preserve"> </w:t>
      </w:r>
      <w:r>
        <w:rPr>
          <w:bCs/>
          <w:b/>
        </w:rPr>
        <w:t xml:space="preserve">Belgium Brussels</w:t>
      </w:r>
      <w:r>
        <w:t xml:space="preserve">, the investment must be focused on upskilling their Bankers. The future belongs to those who can effectively harmonize the demands of European regulation with the innovative potential of modern financial services. This case study underscores that in this unique hub, the Banker is indeed a custodian not just of wealth, but of stability and compliance in an increasingly complex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Belgium Brussels</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