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Canada</w:t>
      </w:r>
      <w:r>
        <w:t xml:space="preserve"> </w:t>
      </w:r>
      <w:r>
        <w:t xml:space="preserve">Toronto</w:t>
      </w:r>
    </w:p>
    <w:bookmarkStart w:id="27" w:name="Xf83cf5a88d32a8133b63f545938459ea171a011"/>
    <w:p>
      <w:pPr>
        <w:pStyle w:val="Heading1"/>
      </w:pPr>
      <w:r>
        <w:t xml:space="preserve">Case Study: The Evolving Role of the Banker in Canada Toronto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Key Terms:</w:t>
      </w:r>
      <w:r>
        <w:t xml:space="preserve"> </w:t>
      </w:r>
      <w:r>
        <w:t xml:space="preserve">Case Study, Banker, Canada Toronto</w:t>
      </w:r>
    </w:p>
    <w:bookmarkStart w:id="20" w:name="executive-summary"/>
    <w:p>
      <w:pPr>
        <w:pStyle w:val="Heading2"/>
      </w:pPr>
      <w:r>
        <w:t xml:space="preserve">1. Executive Summary</w:t>
      </w:r>
    </w:p>
    <w:p>
      <w:pPr>
        <w:pStyle w:val="FirstParagraph"/>
      </w:pPr>
      <w:r>
        <w:t xml:space="preserve">In the rapidly evolving landscape of global finance, few cities present as complex and dynamic a testing ground as</w:t>
      </w:r>
      <w:r>
        <w:t xml:space="preserve"> </w:t>
      </w:r>
      <w:r>
        <w:rPr>
          <w:bCs/>
          <w:b/>
        </w:rPr>
        <w:t xml:space="preserve">Toronto</w:t>
      </w:r>
      <w:r>
        <w:t xml:space="preserve">. As the financial capital of</w:t>
      </w:r>
      <w:r>
        <w:t xml:space="preserve"> </w:t>
      </w:r>
      <w:r>
        <w:rPr>
          <w:bCs/>
          <w:b/>
        </w:rPr>
        <w:t xml:space="preserve">Canada Toronto</w:t>
      </w:r>
      <w:r>
        <w:t xml:space="preserve">, this metropolitan hub serves as the epicenter for major banking institutions, fintech innovation, and international trade. This case study explores the critical transformation of the role of a professional</w:t>
      </w:r>
      <w:r>
        <w:t xml:space="preserve"> </w:t>
      </w:r>
      <w:r>
        <w:rPr>
          <w:bCs/>
          <w:b/>
        </w:rPr>
        <w:t xml:space="preserve">Banker</w:t>
      </w:r>
      <w:r>
        <w:t xml:space="preserve"> </w:t>
      </w:r>
      <w:r>
        <w:t xml:space="preserve">within this specific geographic and economic context.</w:t>
      </w:r>
      <w:r>
        <w:t xml:space="preserve"> </w:t>
      </w:r>
      <w:r>
        <w:t xml:space="preserve">The primary objective of this document is to analyze how a modern</w:t>
      </w:r>
      <w:r>
        <w:t xml:space="preserve"> </w:t>
      </w:r>
      <w:r>
        <w:rPr>
          <w:bCs/>
          <w:b/>
        </w:rPr>
        <w:t xml:space="preserve">Banker</w:t>
      </w:r>
      <w:r>
        <w:t xml:space="preserve"> </w:t>
      </w:r>
      <w:r>
        <w:t xml:space="preserve">navigates the unique regulatory environments, cultural nuances, and technological disruptions present in</w:t>
      </w:r>
      <w:r>
        <w:t xml:space="preserve"> </w:t>
      </w:r>
      <w:r>
        <w:rPr>
          <w:bCs/>
          <w:b/>
        </w:rPr>
        <w:t xml:space="preserve">Toronto</w:t>
      </w:r>
      <w:r>
        <w:t xml:space="preserve">. By examining real-world scenarios faced by financial professionals in this region, we aim to highlight the shifting competencies required for success. This case study serves not only as an academic resource but also as a practical guide for aspiring professionals seeking to understand the intricacies of banking in one of North America’s most vibrant economic centers.</w:t>
      </w:r>
    </w:p>
    <w:bookmarkEnd w:id="20"/>
    <w:bookmarkStart w:id="21" w:name="X4cea7f17f7f92a4e7ed68731969921740a04695"/>
    <w:p>
      <w:pPr>
        <w:pStyle w:val="Heading2"/>
      </w:pPr>
      <w:r>
        <w:t xml:space="preserve">2. Contextual Background: The Toronto Financial Ecosystem</w:t>
      </w:r>
    </w:p>
    <w:p>
      <w:pPr>
        <w:pStyle w:val="FirstParagraph"/>
      </w:pPr>
      <w:r>
        <w:t xml:space="preserve">To fully appreciate the role of the</w:t>
      </w:r>
      <w:r>
        <w:t xml:space="preserve"> </w:t>
      </w:r>
      <w:r>
        <w:rPr>
          <w:bCs/>
          <w:b/>
        </w:rPr>
        <w:t xml:space="preserve">Banker</w:t>
      </w:r>
      <w:r>
        <w:t xml:space="preserve">, one must first understand the environment in which they operate.</w:t>
      </w:r>
      <w:r>
        <w:t xml:space="preserve"> </w:t>
      </w:r>
      <w:r>
        <w:rPr>
          <w:bCs/>
          <w:b/>
        </w:rPr>
        <w:t xml:space="preserve">Toronto</w:t>
      </w:r>
      <w:r>
        <w:t xml:space="preserve"> </w:t>
      </w:r>
      <w:r>
        <w:t xml:space="preserve">is home to the "Big Five" Canadian banks, including Royal Bank of Canada (RBC), Toronto-Dominion Bank (TD), and Scotiabank, alongside a burgeoning sector of independent financial advisors and fintech startups. The city’s economy is diverse, ranging from real estate development and technology to manufacturing and international trade.</w:t>
      </w:r>
      <w:r>
        <w:t xml:space="preserve"> </w:t>
      </w:r>
      <w:r>
        <w:t xml:space="preserve">The term</w:t>
      </w:r>
      <w:r>
        <w:t xml:space="preserve"> </w:t>
      </w:r>
      <w:r>
        <w:rPr>
          <w:bCs/>
          <w:b/>
        </w:rPr>
        <w:t xml:space="preserve">Canada Toronto</w:t>
      </w:r>
      <w:r>
        <w:t xml:space="preserve"> </w:t>
      </w:r>
      <w:r>
        <w:t xml:space="preserve">implies more than just a geographic location; it represents a specific regulatory framework governed by the Office of the Superintendent of Financial Institutions (OSFI) alongside provincial laws in Ontario. For a</w:t>
      </w:r>
      <w:r>
        <w:t xml:space="preserve"> </w:t>
      </w:r>
      <w:r>
        <w:rPr>
          <w:bCs/>
          <w:b/>
        </w:rPr>
        <w:t xml:space="preserve">Banker</w:t>
      </w:r>
      <w:r>
        <w:t xml:space="preserve">, compliance with these stringent regulations is not optional—it is foundational. Furthermore,</w:t>
      </w:r>
      <w:r>
        <w:t xml:space="preserve"> </w:t>
      </w:r>
      <w:r>
        <w:rPr>
          <w:bCs/>
          <w:b/>
        </w:rPr>
        <w:t xml:space="preserve">Toronto’s</w:t>
      </w:r>
      <w:r>
        <w:t xml:space="preserve"> </w:t>
      </w:r>
      <w:r>
        <w:t xml:space="preserve">multicultural population demands that banking services be inclusive and accessible to diverse demographic groups, creating a unique service-oriented challenge for financial professionals.</w:t>
      </w:r>
    </w:p>
    <w:bookmarkEnd w:id="21"/>
    <w:bookmarkStart w:id="22" w:name="X2eee42a58bcd6d1bf4bfb30b50071e1ebe9459e"/>
    <w:p>
      <w:pPr>
        <w:pStyle w:val="Heading2"/>
      </w:pPr>
      <w:r>
        <w:t xml:space="preserve">3. The Changing Profile of the Modern Banker</w:t>
      </w:r>
    </w:p>
    <w:p>
      <w:pPr>
        <w:pStyle w:val="FirstParagraph"/>
      </w:pPr>
      <w:r>
        <w:t xml:space="preserve">Historically, the role of a</w:t>
      </w:r>
      <w:r>
        <w:t xml:space="preserve"> </w:t>
      </w:r>
      <w:r>
        <w:rPr>
          <w:bCs/>
          <w:b/>
        </w:rPr>
        <w:t xml:space="preserve">Banker</w:t>
      </w:r>
      <w:r>
        <w:t xml:space="preserve"> </w:t>
      </w:r>
      <w:r>
        <w:t xml:space="preserve">was transactional: processing deposits, issuing loans, and balancing ledgers. However, this case study identifies a significant paradigm shift in</w:t>
      </w:r>
      <w:r>
        <w:t xml:space="preserve"> </w:t>
      </w:r>
      <w:r>
        <w:rPr>
          <w:bCs/>
          <w:b/>
        </w:rPr>
        <w:t xml:space="preserve">Toronto</w:t>
      </w:r>
      <w:r>
        <w:t xml:space="preserve">. Today’s professional is less of a transaction processor and more of a trusted financial advisor and strategic partner.</w:t>
      </w:r>
      <w:r>
        <w:t xml:space="preserve"> </w:t>
      </w:r>
      <w:r>
        <w:t xml:space="preserve">### 3.1 Digital Literacy as a Core Competency</w:t>
      </w:r>
      <w:r>
        <w:t xml:space="preserve"> </w:t>
      </w:r>
      <w:r>
        <w:t xml:space="preserve">In the context of</w:t>
      </w:r>
      <w:r>
        <w:t xml:space="preserve"> </w:t>
      </w:r>
      <w:r>
        <w:rPr>
          <w:bCs/>
          <w:b/>
        </w:rPr>
        <w:t xml:space="preserve">Canada Toronto</w:t>
      </w:r>
      <w:r>
        <w:t xml:space="preserve">, digital adoption among consumers is high. A modern</w:t>
      </w:r>
      <w:r>
        <w:t xml:space="preserve"> </w:t>
      </w:r>
      <w:r>
        <w:rPr>
          <w:bCs/>
          <w:b/>
        </w:rPr>
        <w:t xml:space="preserve">Banker</w:t>
      </w:r>
      <w:r>
        <w:t xml:space="preserve"> </w:t>
      </w:r>
      <w:r>
        <w:t xml:space="preserve">must be proficient in digital banking platforms, mobile application integrations, and secure data management systems. The case study highlights that bankers who fail to leverage technology risk obsolescence. For instance, automated credit scoring algorithms are now standard in loan approvals within</w:t>
      </w:r>
      <w:r>
        <w:t xml:space="preserve"> </w:t>
      </w:r>
      <w:r>
        <w:rPr>
          <w:bCs/>
          <w:b/>
        </w:rPr>
        <w:t xml:space="preserve">Toronto</w:t>
      </w:r>
      <w:r>
        <w:t xml:space="preserve">, requiring the banker to interpret data analytics rather than simply approve applications based on intuition.</w:t>
      </w:r>
      <w:r>
        <w:t xml:space="preserve"> </w:t>
      </w:r>
      <w:r>
        <w:t xml:space="preserve">### 3.2 Advisory Skills and Client Relationships</w:t>
      </w:r>
      <w:r>
        <w:t xml:space="preserve"> </w:t>
      </w:r>
      <w:r>
        <w:t xml:space="preserve">The competitive nature of the banking sector in</w:t>
      </w:r>
      <w:r>
        <w:t xml:space="preserve"> </w:t>
      </w:r>
      <w:r>
        <w:rPr>
          <w:bCs/>
          <w:b/>
        </w:rPr>
        <w:t xml:space="preserve">Toronto</w:t>
      </w:r>
      <w:r>
        <w:t xml:space="preserve"> </w:t>
      </w:r>
      <w:r>
        <w:t xml:space="preserve">has intensified customer expectations. Clients no longer view their bank as merely a repository for funds but as a holistic financial partner. Consequently, the</w:t>
      </w:r>
      <w:r>
        <w:t xml:space="preserve"> </w:t>
      </w:r>
      <w:r>
        <w:rPr>
          <w:bCs/>
          <w:b/>
        </w:rPr>
        <w:t xml:space="preserve">Banker</w:t>
      </w:r>
      <w:r>
        <w:t xml:space="preserve"> </w:t>
      </w:r>
      <w:r>
        <w:t xml:space="preserve">must possess strong soft skills, including empathy, communication, and problem-solving abilities. This case study notes that successful bankers in this region excel at building long-term relationships with local businesses and individual clients alike.</w:t>
      </w:r>
    </w:p>
    <w:bookmarkEnd w:id="22"/>
    <w:bookmarkStart w:id="23" w:name="X66d943e37ec1e299aea1e41f8fa17993bc0503e"/>
    <w:p>
      <w:pPr>
        <w:pStyle w:val="Heading2"/>
      </w:pPr>
      <w:r>
        <w:t xml:space="preserve">4. Key Challenges Faced by Bankers in Toronto</w:t>
      </w:r>
    </w:p>
    <w:p>
      <w:pPr>
        <w:pStyle w:val="FirstParagraph"/>
      </w:pPr>
      <w:r>
        <w:t xml:space="preserve">This section of the</w:t>
      </w:r>
      <w:r>
        <w:t xml:space="preserve"> </w:t>
      </w:r>
      <w:r>
        <w:rPr>
          <w:bCs/>
          <w:b/>
        </w:rPr>
        <w:t xml:space="preserve">Case Study</w:t>
      </w:r>
      <w:r>
        <w:t xml:space="preserve"> </w:t>
      </w:r>
      <w:r>
        <w:t xml:space="preserve">delves into specific challenges encountered by financial professionals operating within the</w:t>
      </w:r>
      <w:r>
        <w:t xml:space="preserve"> </w:t>
      </w:r>
      <w:r>
        <w:rPr>
          <w:bCs/>
          <w:b/>
        </w:rPr>
        <w:t xml:space="preserve">Toronto</w:t>
      </w:r>
      <w:r>
        <w:t xml:space="preserve"> </w:t>
      </w:r>
      <w:r>
        <w:t xml:space="preserve">market. These challenges serve as critical learning points for understanding the complexity of the role.</w:t>
      </w:r>
      <w:r>
        <w:t xml:space="preserve"> </w:t>
      </w:r>
      <w:r>
        <w:t xml:space="preserve">### 4.1 Regulatory Compliance and Risk Management</w:t>
      </w:r>
      <w:r>
        <w:t xml:space="preserve"> </w:t>
      </w:r>
      <w:r>
        <w:t xml:space="preserve">Operating in</w:t>
      </w:r>
      <w:r>
        <w:t xml:space="preserve"> </w:t>
      </w:r>
      <w:r>
        <w:rPr>
          <w:bCs/>
          <w:b/>
        </w:rPr>
        <w:t xml:space="preserve">Toronto</w:t>
      </w:r>
      <w:r>
        <w:t xml:space="preserve">, Ontario, requires strict adherence to federal and provincial laws, including anti-money laundering (AML) regulations and know-your-customer (KYC) protocols. For a</w:t>
      </w:r>
      <w:r>
        <w:t xml:space="preserve"> </w:t>
      </w:r>
      <w:r>
        <w:rPr>
          <w:bCs/>
          <w:b/>
        </w:rPr>
        <w:t xml:space="preserve">Banker</w:t>
      </w:r>
      <w:r>
        <w:t xml:space="preserve">, staying updated on changes in legislation is an ongoing professional obligation. The case study illustrates a scenario where a local investment firm faced significant penalties due to compliance failures, underscoring the necessity for vigilance and rigorous internal auditing processes led by senior bankers.</w:t>
      </w:r>
      <w:r>
        <w:t xml:space="preserve"> </w:t>
      </w:r>
      <w:r>
        <w:t xml:space="preserve">### 4.2 Market Volatility and Economic Uncertainty</w:t>
      </w:r>
      <w:r>
        <w:t xml:space="preserve"> </w:t>
      </w:r>
      <w:r>
        <w:t xml:space="preserve">The economy of</w:t>
      </w:r>
      <w:r>
        <w:t xml:space="preserve"> </w:t>
      </w:r>
      <w:r>
        <w:rPr>
          <w:bCs/>
          <w:b/>
        </w:rPr>
        <w:t xml:space="preserve">Canada Toronto</w:t>
      </w:r>
      <w:r>
        <w:t xml:space="preserve"> </w:t>
      </w:r>
      <w:r>
        <w:t xml:space="preserve">is heavily influenced by global market trends, particularly in the real estate sector. Fluctuations in interest rates set by the Bank of Canada directly impact mortgage lending and consumer spending patterns. A proactive</w:t>
      </w:r>
      <w:r>
        <w:t xml:space="preserve"> </w:t>
      </w:r>
      <w:r>
        <w:rPr>
          <w:bCs/>
          <w:b/>
        </w:rPr>
        <w:t xml:space="preserve">Banker</w:t>
      </w:r>
      <w:r>
        <w:t xml:space="preserve"> </w:t>
      </w:r>
      <w:r>
        <w:t xml:space="preserve">must be able to advise clients on navigating these shifts, offering strategies for risk mitigation during periods of high volatility. This requires a deep understanding of macroeconomic indicators specific to the Canadian context.</w:t>
      </w:r>
      <w:r>
        <w:t xml:space="preserve"> </w:t>
      </w:r>
      <w:r>
        <w:t xml:space="preserve">### 4.3 Diversity and Inclusion</w:t>
      </w:r>
      <w:r>
        <w:t xml:space="preserve"> </w:t>
      </w:r>
      <w:r>
        <w:rPr>
          <w:bCs/>
          <w:b/>
        </w:rPr>
        <w:t xml:space="preserve">Toronto</w:t>
      </w:r>
      <w:r>
        <w:t xml:space="preserve"> </w:t>
      </w:r>
      <w:r>
        <w:t xml:space="preserve">is one of the most diverse cities in the world. For a</w:t>
      </w:r>
      <w:r>
        <w:t xml:space="preserve"> </w:t>
      </w:r>
      <w:r>
        <w:rPr>
          <w:bCs/>
          <w:b/>
        </w:rPr>
        <w:t xml:space="preserve">Banker</w:t>
      </w:r>
      <w:r>
        <w:t xml:space="preserve">, this diversity presents both an opportunity and a challenge. It requires cultural competence and sensitivity to serve clients from various backgrounds effectively. This case study emphasizes that inclusive banking practices are not just ethical imperatives but also business necessities in</w:t>
      </w:r>
      <w:r>
        <w:t xml:space="preserve"> </w:t>
      </w:r>
      <w:r>
        <w:rPr>
          <w:bCs/>
          <w:b/>
        </w:rPr>
        <w:t xml:space="preserve">Toronto</w:t>
      </w:r>
      <w:r>
        <w:t xml:space="preserve">. Bankers who can communicate across cultural barriers often build stronger, more loyal client bases.</w:t>
      </w:r>
    </w:p>
    <w:bookmarkEnd w:id="23"/>
    <w:bookmarkStart w:id="24" w:name="strategic-recommendations-for-success"/>
    <w:p>
      <w:pPr>
        <w:pStyle w:val="Heading2"/>
      </w:pPr>
      <w:r>
        <w:t xml:space="preserve">5. Strategic Recommendations for Success</w:t>
      </w:r>
    </w:p>
    <w:p>
      <w:pPr>
        <w:pStyle w:val="FirstParagraph"/>
      </w:pPr>
      <w:r>
        <w:t xml:space="preserve">Based on the analysis presented in this</w:t>
      </w:r>
      <w:r>
        <w:t xml:space="preserve"> </w:t>
      </w:r>
      <w:r>
        <w:rPr>
          <w:bCs/>
          <w:b/>
        </w:rPr>
        <w:t xml:space="preserve">Case Study</w:t>
      </w:r>
      <w:r>
        <w:t xml:space="preserve">, several strategic recommendations are proposed for current and future</w:t>
      </w:r>
      <w:r>
        <w:t xml:space="preserve"> </w:t>
      </w:r>
      <w:r>
        <w:rPr>
          <w:bCs/>
          <w:b/>
        </w:rPr>
        <w:t xml:space="preserve">Bankers</w:t>
      </w:r>
      <w:r>
        <w:t xml:space="preserve"> </w:t>
      </w:r>
      <w:r>
        <w:t xml:space="preserve">aiming to thrive in</w:t>
      </w:r>
      <w:r>
        <w:t xml:space="preserve"> </w:t>
      </w:r>
      <w:r>
        <w:rPr>
          <w:bCs/>
          <w:b/>
        </w:rPr>
        <w:t xml:space="preserve">Toronto</w:t>
      </w:r>
      <w:r>
        <w:t xml:space="preserve">.</w:t>
      </w:r>
      <w:r>
        <w:t xml:space="preserve"> </w:t>
      </w:r>
      <w:r>
        <w:t xml:space="preserve">1. **Continuous Education:** Bankers must engage in lifelong learning, particularly regarding fintech advancements and regulatory updates specific to</w:t>
      </w:r>
      <w:r>
        <w:t xml:space="preserve"> </w:t>
      </w:r>
      <w:r>
        <w:rPr>
          <w:bCs/>
          <w:b/>
        </w:rPr>
        <w:t xml:space="preserve">Canada Toronto</w:t>
      </w:r>
      <w:r>
        <w:t xml:space="preserve">.</w:t>
      </w:r>
      <w:r>
        <w:t xml:space="preserve"> </w:t>
      </w:r>
      <w:r>
        <w:t xml:space="preserve">2. **Technology Integration:** Embrace digital tools to enhance client experience while maintaining personal touchpoints where possible. The hybrid model of tech-enabled efficiency combined with human empathy is key in the</w:t>
      </w:r>
      <w:r>
        <w:t xml:space="preserve"> </w:t>
      </w:r>
      <w:r>
        <w:rPr>
          <w:bCs/>
          <w:b/>
        </w:rPr>
        <w:t xml:space="preserve">Toronto</w:t>
      </w:r>
      <w:r>
        <w:t xml:space="preserve"> </w:t>
      </w:r>
      <w:r>
        <w:t xml:space="preserve">market.</w:t>
      </w:r>
      <w:r>
        <w:t xml:space="preserve"> </w:t>
      </w:r>
      <w:r>
        <w:t xml:space="preserve">3. **Community Engagement:** Building a reputation within local communities in</w:t>
      </w:r>
      <w:r>
        <w:t xml:space="preserve"> </w:t>
      </w:r>
      <w:r>
        <w:rPr>
          <w:bCs/>
          <w:b/>
        </w:rPr>
        <w:t xml:space="preserve">Toronto</w:t>
      </w:r>
      <w:r>
        <w:t xml:space="preserve"> </w:t>
      </w:r>
      <w:r>
        <w:t xml:space="preserve">can differentiate a banker from competitors. Participating in local business associations and community events fosters trust and brand loyalty.</w:t>
      </w:r>
      <w:r>
        <w:t xml:space="preserve"> </w:t>
      </w:r>
      <w:r>
        <w:t xml:space="preserve">4. **Adaptability:** Given the dynamic nature of the financial sector, adaptability is crucial. Bankers must be prepared to pivot strategies in response to economic shifts or technological disruptions.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Banker</w:t>
      </w:r>
      <w:r>
        <w:t xml:space="preserve"> </w:t>
      </w:r>
      <w:r>
        <w:t xml:space="preserve">in</w:t>
      </w:r>
      <w:r>
        <w:t xml:space="preserve"> </w:t>
      </w:r>
      <w:r>
        <w:rPr>
          <w:bCs/>
          <w:b/>
        </w:rPr>
        <w:t xml:space="preserve">Toronto</w:t>
      </w:r>
      <w:r>
        <w:t xml:space="preserve"> </w:t>
      </w:r>
      <w:r>
        <w:t xml:space="preserve">is undergoing a profound transformation driven by technology, regulation, and changing client expectations. This</w:t>
      </w:r>
      <w:r>
        <w:t xml:space="preserve"> </w:t>
      </w:r>
      <w:r>
        <w:rPr>
          <w:bCs/>
          <w:b/>
        </w:rPr>
        <w:t xml:space="preserve">Case Study</w:t>
      </w:r>
      <w:r>
        <w:t xml:space="preserve"> </w:t>
      </w:r>
      <w:r>
        <w:t xml:space="preserve">has demonstrated that success in this competitive environment requires a multifaceted skill set encompassing technical proficiency, regulatory knowledge, and interpersonal expertise.</w:t>
      </w:r>
      <w:r>
        <w:t xml:space="preserve"> </w:t>
      </w:r>
      <w:r>
        <w:t xml:space="preserve">As the financial landscape of</w:t>
      </w:r>
      <w:r>
        <w:t xml:space="preserve"> </w:t>
      </w:r>
      <w:r>
        <w:rPr>
          <w:bCs/>
          <w:b/>
        </w:rPr>
        <w:t xml:space="preserve">Toronto</w:t>
      </w:r>
      <w:r>
        <w:t xml:space="preserve"> </w:t>
      </w:r>
      <w:r>
        <w:t xml:space="preserve">continues to evolve with the growth of fintech innovation and international connectivity, the importance of the</w:t>
      </w:r>
      <w:r>
        <w:t xml:space="preserve"> </w:t>
      </w:r>
      <w:r>
        <w:rPr>
          <w:bCs/>
          <w:b/>
        </w:rPr>
        <w:t xml:space="preserve">Banker</w:t>
      </w:r>
      <w:r>
        <w:t xml:space="preserve"> </w:t>
      </w:r>
      <w:r>
        <w:t xml:space="preserve">as a strategic advisor remains paramount. Professionals who can effectively balance these demands while serving the diverse population of</w:t>
      </w:r>
      <w:r>
        <w:t xml:space="preserve"> </w:t>
      </w:r>
      <w:r>
        <w:rPr>
          <w:bCs/>
          <w:b/>
        </w:rPr>
        <w:t xml:space="preserve">Toronto</w:t>
      </w:r>
      <w:r>
        <w:t xml:space="preserve">, Ontario, will be best positioned to lead in this dynamic sector.</w:t>
      </w:r>
      <w:r>
        <w:t xml:space="preserve"> </w:t>
      </w:r>
      <w:r>
        <w:t xml:space="preserve">For stakeholders involved in banking education and recruitment in</w:t>
      </w:r>
      <w:r>
        <w:t xml:space="preserve"> </w:t>
      </w:r>
      <w:r>
        <w:rPr>
          <w:bCs/>
          <w:b/>
        </w:rPr>
        <w:t xml:space="preserve">Toronto</w:t>
      </w:r>
      <w:r>
        <w:t xml:space="preserve">, this document provides a comprehensive overview of the current state and future trajectory of the profession. It serves as a reminder that while technology changes, the core mission of banking—to facilitate economic growth and provide security—remains unchanged, even as its execution evolves within the unique context of</w:t>
      </w:r>
      <w:r>
        <w:t xml:space="preserve"> </w:t>
      </w:r>
      <w:r>
        <w:rPr>
          <w:bCs/>
          <w:b/>
        </w:rPr>
        <w:t xml:space="preserve">Canada Toronto</w:t>
      </w:r>
      <w:r>
        <w:t xml:space="preserve">.</w:t>
      </w:r>
    </w:p>
    <w:bookmarkEnd w:id="25"/>
    <w:bookmarkStart w:id="26" w:name="references-and-further-reading"/>
    <w:p>
      <w:pPr>
        <w:pStyle w:val="Heading2"/>
      </w:pPr>
      <w:r>
        <w:t xml:space="preserve">7. References and Further Reading</w:t>
      </w:r>
    </w:p>
    <w:p>
      <w:pPr>
        <w:numPr>
          <w:ilvl w:val="0"/>
          <w:numId w:val="1001"/>
        </w:numPr>
        <w:pStyle w:val="Compact"/>
      </w:pPr>
      <w:r>
        <w:t xml:space="preserve">Royal Bank of Canada (RBC) Annual Reports on Regional Economic Trends in Ontario.</w:t>
      </w:r>
    </w:p>
    <w:p>
      <w:pPr>
        <w:numPr>
          <w:ilvl w:val="0"/>
          <w:numId w:val="1001"/>
        </w:numPr>
        <w:pStyle w:val="Compact"/>
      </w:pPr>
      <w:r>
        <w:t xml:space="preserve">Office of the Superintendent of Financial Institutions (OSFI) Regulatory Guidelines for Canadian Banks.</w:t>
      </w:r>
    </w:p>
    <w:p>
      <w:pPr>
        <w:numPr>
          <w:ilvl w:val="0"/>
          <w:numId w:val="1001"/>
        </w:numPr>
        <w:pStyle w:val="Compact"/>
      </w:pPr>
      <w:r>
        <w:t xml:space="preserve">Toronto Board of Trade: "The State of the Economy in Toronto" – Latest Edition.</w:t>
      </w:r>
    </w:p>
    <w:p>
      <w:pPr>
        <w:numPr>
          <w:ilvl w:val="0"/>
          <w:numId w:val="1001"/>
        </w:numPr>
        <w:pStyle w:val="Compact"/>
      </w:pPr>
      <w:r>
        <w:t xml:space="preserve">CMA Research: "Fintech Disruption and Traditional Banking Models in North America."</w:t>
      </w:r>
    </w:p>
    <w:p>
      <w:pPr>
        <w:pStyle w:val="FirstParagraph"/>
      </w:pPr>
      <w:r>
        <w:rPr>
          <w:iCs/>
          <w:i/>
        </w:rPr>
        <w:t xml:space="preserve">Note: This document is prepared for educational and analytical purposes. All data reflects general industry trends observed in the financial sector of Toronto,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Canada Toronto</dc:title>
  <dc:creator/>
  <dc:language>en</dc:language>
  <cp:keywords/>
  <dcterms:created xsi:type="dcterms:W3CDTF">2026-07-29T06:08:53Z</dcterms:created>
  <dcterms:modified xsi:type="dcterms:W3CDTF">2026-07-29T06:08:53Z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