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China</w:t>
      </w:r>
      <w:r>
        <w:t xml:space="preserve"> </w:t>
      </w:r>
      <w:r>
        <w:t xml:space="preserve">Beijing</w:t>
      </w:r>
    </w:p>
    <w:bookmarkStart w:id="26" w:name="Xaf7f9d6f489acbe5b9d66f49fbf0f93a9bdd2ec"/>
    <w:p>
      <w:pPr>
        <w:pStyle w:val="Heading1"/>
      </w:pPr>
      <w:r>
        <w:t xml:space="preserve">Case Study Strategic Transformation of the Banker in China Beijing</w:t>
      </w:r>
    </w:p>
    <w:p>
      <w:pPr>
        <w:pStyle w:val="FirstParagraph"/>
      </w:pPr>
      <w:r>
        <w:t xml:space="preserve">This case study explores the profound transformation of the role and function of a</w:t>
      </w:r>
      <w:r>
        <w:t xml:space="preserve"> </w:t>
      </w:r>
      <w:r>
        <w:rPr>
          <w:iCs/>
          <w:i/>
          <w:bCs/>
          <w:b/>
        </w:rPr>
        <w:t xml:space="preserve">Banker</w:t>
      </w:r>
      <w:r>
        <w:rPr>
          <w:iCs/>
          <w:i/>
        </w:rPr>
        <w:t xml:space="preserve">China Beijing</w:t>
      </w:r>
      <w:r>
        <w:t xml:space="preserve">. As one of China's most critical economic hubs, Beijing serves as not only a political center but also as the headquarters for China's "Big Four" state-owned banks and numerous fintech innovators. This document analyzes how traditional banking practices are evolving to meet the demands of a digital-first society, regulatory shifts, and global integration.</w:t>
      </w:r>
    </w:p>
    <w:p>
      <w:pPr>
        <w:pStyle w:val="BodyText"/>
      </w:pPr>
      <w:r>
        <w:t xml:space="preserve">The financial landscape in</w:t>
      </w:r>
      <w:r>
        <w:t xml:space="preserve"> </w:t>
      </w:r>
      <w:r>
        <w:rPr>
          <w:bCs/>
          <w:b/>
        </w:rPr>
        <w:t xml:space="preserve">China Beijing</w:t>
      </w:r>
      <w:r>
        <w:t xml:space="preserve"> </w:t>
      </w:r>
      <w:r>
        <w:t xml:space="preserve">is unique due its blend of state control and market-driven innovation. For decades, the traditional</w:t>
      </w:r>
      <w:r>
        <w:t xml:space="preserve"> </w:t>
      </w:r>
      <w:r>
        <w:rPr>
          <w:iCs/>
          <w:i/>
          <w:bCs/>
          <w:b/>
        </w:rPr>
        <w:t xml:space="preserve">Banker</w:t>
      </w:r>
    </w:p>
    <w:bookmarkStart w:id="20" w:name="from-gatekeeper-to-partner"/>
    <w:p>
      <w:pPr>
        <w:pStyle w:val="Heading3"/>
      </w:pPr>
      <w:r>
        <w:t xml:space="preserve">From Gatekeeper to Partner</w:t>
      </w:r>
    </w:p>
    <w:p>
      <w:pPr>
        <w:pStyle w:val="FirstParagraph"/>
      </w:pPr>
      <w:r>
        <w:t xml:space="preserve">In the past a typical</w:t>
      </w:r>
      <w:r>
        <w:t xml:space="preserve"> </w:t>
      </w:r>
      <w:r>
        <w:rPr>
          <w:iCs/>
          <w:i/>
          <w:bCs/>
          <w:b/>
        </w:rPr>
        <w:t xml:space="preserve">Banker</w:t>
      </w:r>
      <w:r>
        <w:t xml:space="preserve">China Beijing was seen as a gatekeeper controlling access to capital. Today that perception has shifted significantly. Modern bankers must act as strategic partners for both corporate clients and individual consumers.</w:t>
      </w:r>
    </w:p>
    <w:p>
      <w:pPr>
        <w:numPr>
          <w:ilvl w:val="0"/>
          <w:numId w:val="1001"/>
        </w:numPr>
        <w:pStyle w:val="Compact"/>
      </w:pPr>
      <w:r>
        <w:rPr>
          <w:bCs/>
          <w:b/>
        </w:rPr>
        <w:t xml:space="preserve">Digital Literacy:</w:t>
      </w:r>
      <w:r>
        <w:t xml:space="preserve">The modern banker in Beijing is expected to be proficient in digital tools including AI-driven credit scoring platforms big data analytics and blockchain-based settlement systems.</w:t>
      </w:r>
    </w:p>
    <w:p>
      <w:pPr>
        <w:numPr>
          <w:ilvl w:val="0"/>
          <w:numId w:val="1001"/>
        </w:numPr>
        <w:pStyle w:val="Compact"/>
      </w:pPr>
      <w:r>
        <w:rPr>
          <w:bCs/>
          <w:b/>
        </w:rPr>
        <w:t xml:space="preserve">Risk Management Innovation:</w:t>
      </w:r>
      <w:r>
        <w:t xml:space="preserve">With the rise of peer-to-peer lending and alternative financing methods traditional bankers have had to innovate their risk assessment models. They now utilize machine learning algorithms to predict creditworthiness more accurately than ever before.</w:t>
      </w:r>
    </w:p>
    <w:bookmarkEnd w:id="20"/>
    <w:bookmarkStart w:id="21" w:name="the-impact-of-regulatory-frameworks"/>
    <w:p>
      <w:pPr>
        <w:pStyle w:val="Heading3"/>
      </w:pPr>
      <w:r>
        <w:t xml:space="preserve">The Impact of Regulatory Frameworks</w:t>
      </w:r>
    </w:p>
    <w:p>
      <w:pPr>
        <w:pStyle w:val="FirstParagraph"/>
      </w:pPr>
      <w:r>
        <w:t xml:space="preserve">Regulations play a pivotal role in shaping the work of every</w:t>
      </w:r>
      <w:r>
        <w:t xml:space="preserve"> </w:t>
      </w:r>
      <w:r>
        <w:rPr>
          <w:iCs/>
          <w:i/>
          <w:bCs/>
          <w:b/>
        </w:rPr>
        <w:t xml:space="preserve">Banker</w:t>
      </w:r>
      <w:r>
        <w:t xml:space="preserve">China Beijing. The China Banking and Insurance Regulatory Commission (CBIRC) has implemented strict guidelines regarding capital adequacy liquidity ratios and non-performing loans.</w:t>
      </w:r>
    </w:p>
    <w:p>
      <w:pPr>
        <w:pStyle w:val="BodyText"/>
      </w:pPr>
      <w:r>
        <w:t xml:space="preserve">Furthermore recent crackdowns on fintech companies have forced traditional banks to reconsider their partnerships with technology firms. Banks are now increasingly taking control of their technological infrastructure ensuring compliance while maintaining agility. This regulatory environment requires bankers to possess not only financial acumen but also a deep understanding of legal and compliance frameworks specific to Chinese law.</w:t>
      </w:r>
    </w:p>
    <w:p>
      <w:pPr>
        <w:pStyle w:val="BodyText"/>
      </w:pPr>
      <w:r>
        <w:t xml:space="preserve">The intersection of finance and technology in</w:t>
      </w:r>
      <w:r>
        <w:t xml:space="preserve"> </w:t>
      </w:r>
      <w:r>
        <w:rPr>
          <w:bCs/>
          <w:b/>
        </w:rPr>
        <w:t xml:space="preserve">China Beijing</w:t>
      </w:r>
      <w:r>
        <w:t xml:space="preserve"> </w:t>
      </w:r>
      <w:r>
        <w:t xml:space="preserve">has given rise to one of the world's most advanced mobile payment ecosystems. While platforms like Alipay (Alibaba) WeChat Pay (Tencent) dominate consumer transactions they rely heavily on underlying banking infrastructure.</w:t>
      </w:r>
    </w:p>
    <w:bookmarkEnd w:id="21"/>
    <w:bookmarkStart w:id="22" w:name="the-banker-as-a-tech-integrator"/>
    <w:p>
      <w:pPr>
        <w:pStyle w:val="Heading3"/>
      </w:pPr>
      <w:r>
        <w:t xml:space="preserve">The Banker as a Tech Integrator</w:t>
      </w:r>
    </w:p>
    <w:p>
      <w:pPr>
        <w:pStyle w:val="FirstParagraph"/>
      </w:pPr>
      <w:r>
        <w:t xml:space="preserve">To remain relevant bankers in Beijing must collaborate closely with fintech providers. This collaboration involves:</w:t>
      </w:r>
    </w:p>
    <w:p>
      <w:pPr>
        <w:numPr>
          <w:ilvl w:val="0"/>
          <w:numId w:val="1002"/>
        </w:numPr>
        <w:pStyle w:val="Compact"/>
      </w:pPr>
      <w:r>
        <w:rPr>
          <w:bCs/>
          <w:b/>
        </w:rPr>
        <w:t xml:space="preserve">Data Integration:</w:t>
      </w:r>
      <w:r>
        <w:t xml:space="preserve">Sharing data securely to enhance customer profiling while adhering to strict privacy laws such as the Personal Information Protection Law (PIPL).</w:t>
      </w:r>
    </w:p>
    <w:p>
      <w:pPr>
        <w:numPr>
          <w:ilvl w:val="0"/>
          <w:numId w:val="1002"/>
        </w:numPr>
        <w:pStyle w:val="Compact"/>
      </w:pPr>
      <w:r>
        <w:rPr>
          <w:bCs/>
          <w:b/>
        </w:rPr>
        <w:t xml:space="preserve">Innovative Product Development:</w:t>
      </w:r>
      <w:r>
        <w:t xml:space="preserve">Creating hybrid financial products that combine traditional savings accounts with digital investment features.</w:t>
      </w:r>
    </w:p>
    <w:p>
      <w:pPr>
        <w:pStyle w:val="FirstParagraph"/>
      </w:pPr>
      <w:r>
        <w:t xml:space="preserve">A notable example is the development of "Smart Branches" across</w:t>
      </w:r>
      <w:r>
        <w:t xml:space="preserve"> </w:t>
      </w:r>
      <w:r>
        <w:rPr>
          <w:bCs/>
          <w:b/>
        </w:rPr>
        <w:t xml:space="preserve">China Beijing</w:t>
      </w:r>
      <w:r>
        <w:t xml:space="preserve">. These branches utilize biometric authentication virtual reality consultations and AI assistants to serve customers efficiently. Bankers here no longer just handle paperwork; they manage complex digital relationships and troubleshoot technical issues for clients adapting to new banking interfaces.</w:t>
      </w:r>
    </w:p>
    <w:p>
      <w:pPr>
        <w:pStyle w:val="BodyText"/>
      </w:pPr>
      <w:r>
        <w:t xml:space="preserve">Beijing's status as a global financial center positions its bankers at the forefront of international finance particularly through initiatives like the Belt and Road Initiative (BRI). Bankers in this region are instrumental in facilitating cross-border transactions currency swaps and infrastructure financing projects spanning Asia Africa Europe.</w:t>
      </w:r>
    </w:p>
    <w:p>
      <w:pPr>
        <w:pStyle w:val="BodyText"/>
      </w:pPr>
      <w:r>
        <w:t xml:space="preserve">This requires specialized knowledge of international trade regulations foreign exchange controls geopolitical risks and multi-currency accounting practices. A skilled</w:t>
      </w:r>
      <w:r>
        <w:t xml:space="preserve"> </w:t>
      </w:r>
      <w:r>
        <w:rPr>
          <w:iCs/>
          <w:i/>
          <w:bCs/>
          <w:b/>
        </w:rPr>
        <w:t xml:space="preserve">Banker</w:t>
      </w:r>
    </w:p>
    <w:p>
      <w:pPr>
        <w:pStyle w:val="BodyText"/>
      </w:pPr>
      <w:r>
        <w:t xml:space="preserve">In line with China's "Dual Carbon" goals (carbon peak by 2030 carbon neutrality by 2060) there is a growing emphasis on green finance. Bankers in</w:t>
      </w:r>
      <w:r>
        <w:t xml:space="preserve"> </w:t>
      </w:r>
      <w:r>
        <w:rPr>
          <w:bCs/>
          <w:b/>
        </w:rPr>
        <w:t xml:space="preserve">China Beijing</w:t>
      </w:r>
      <w:r>
        <w:t xml:space="preserve"> </w:t>
      </w:r>
      <w:r>
        <w:t xml:space="preserve">are now tasked with evaluating environmental social governance (ESG) criteria when approving loans.</w:t>
      </w:r>
    </w:p>
    <w:p>
      <w:pPr>
        <w:numPr>
          <w:ilvl w:val="0"/>
          <w:numId w:val="1003"/>
        </w:numPr>
        <w:pStyle w:val="Compact"/>
      </w:pPr>
      <w:r>
        <w:rPr>
          <w:bCs/>
          <w:b/>
        </w:rPr>
        <w:t xml:space="preserve">Green Bonds:</w:t>
      </w:r>
      <w:r>
        <w:t xml:space="preserve">Banks are issuing and managing large volumes of green bonds to fund renewable energy projects.</w:t>
      </w:r>
    </w:p>
    <w:p>
      <w:pPr>
        <w:numPr>
          <w:ilvl w:val="0"/>
          <w:numId w:val="1003"/>
        </w:numPr>
        <w:pStyle w:val="Compact"/>
      </w:pPr>
      <w:r>
        <w:rPr>
          <w:bCs/>
          <w:b/>
        </w:rPr>
        <w:t xml:space="preserve">Sustainable Lending Practices:</w:t>
      </w:r>
      <w:r>
        <w:t xml:space="preserve">Credit decisions increasingly factor in a company's carbon footprint and sustainability metrics. Bankers must assess whether potential borrowers align with national environmental policies.</w:t>
      </w:r>
    </w:p>
    <w:p>
      <w:pPr>
        <w:pStyle w:val="FirstParagraph"/>
      </w:pPr>
      <w:r>
        <w:t xml:space="preserve">This shift represents a significant departure from purely profit-driven lending models. It demands that bankers integrate sustainability into their core business strategies contributing to long-term economic resilience alongside financial stability.</w:t>
      </w:r>
    </w:p>
    <w:bookmarkEnd w:id="22"/>
    <w:bookmarkStart w:id="23" w:name="competition-from-non-bank-entities"/>
    <w:p>
      <w:pPr>
        <w:pStyle w:val="Heading3"/>
      </w:pPr>
      <w:r>
        <w:t xml:space="preserve">Competition from Non-Bank Entities</w:t>
      </w:r>
    </w:p>
    <w:p>
      <w:pPr>
        <w:pStyle w:val="FirstParagraph"/>
      </w:pPr>
      <w:r>
        <w:t xml:space="preserve">One of the most pressing challenges for any</w:t>
      </w:r>
      <w:r>
        <w:t xml:space="preserve"> </w:t>
      </w:r>
      <w:r>
        <w:rPr>
          <w:iCs/>
          <w:i/>
          <w:bCs/>
          <w:b/>
        </w:rPr>
        <w:t xml:space="preserve">Banker</w:t>
      </w:r>
      <w:r>
        <w:t xml:space="preserve">China Beijing is competition from non-bank financial institutions tech giants and shadow banking entities. These competitors often offer faster services lower fees and more user-friendly platforms.</w:t>
      </w:r>
    </w:p>
    <w:bookmarkEnd w:id="23"/>
    <w:bookmarkStart w:id="24" w:name="talent-retention-and-skill-gaps"/>
    <w:p>
      <w:pPr>
        <w:pStyle w:val="Heading3"/>
      </w:pPr>
      <w:r>
        <w:t xml:space="preserve">Talent Retention and Skill Gaps</w:t>
      </w:r>
    </w:p>
    <w:p>
      <w:pPr>
        <w:pStyle w:val="FirstParagraph"/>
      </w:pPr>
      <w:r>
        <w:t xml:space="preserve">The rapid pace of change has created a skills gap within the workforce. Traditional bankers lacking experience in data science cybersecurity or international finance struggle to keep up with evolving job requirements. Institutions in Beijing are investing heavily in continuous training programs to bridge this gap.</w:t>
      </w:r>
    </w:p>
    <w:bookmarkEnd w:id="24"/>
    <w:bookmarkStart w:id="25" w:name="economic-slowdown-and-debt-concerns"/>
    <w:p>
      <w:pPr>
        <w:pStyle w:val="Heading3"/>
      </w:pPr>
      <w:r>
        <w:t xml:space="preserve">Economic Slowdown and Debt Concerns</w:t>
      </w:r>
    </w:p>
    <w:p>
      <w:pPr>
        <w:pStyle w:val="FirstParagraph"/>
      </w:pPr>
      <w:r>
        <w:t xml:space="preserve">China's economic transition poses risks related to local government debt real estate market volatility and corporate leverage. Bankers must carefully balance growth objectives with prudent risk management avoiding excessive exposure to high-risk sectors while supporting emerging industries such as semiconductors artificial intelligence and biotechnology.</w:t>
      </w:r>
    </w:p>
    <w:p>
      <w:pPr>
        <w:pStyle w:val="BodyText"/>
      </w:pPr>
      <w:r>
        <w:t xml:space="preserve">The future of banking in</w:t>
      </w:r>
      <w:r>
        <w:t xml:space="preserve"> </w:t>
      </w:r>
      <w:r>
        <w:rPr>
          <w:bCs/>
          <w:b/>
        </w:rPr>
        <w:t xml:space="preserve">China Beijing</w:t>
      </w:r>
      <w:r>
        <w:t xml:space="preserve"> </w:t>
      </w:r>
      <w:r>
        <w:t xml:space="preserve">will likely see further convergence between traditional finance technology and regulation. Key trends include:</w:t>
      </w:r>
    </w:p>
    <w:p>
      <w:pPr>
        <w:numPr>
          <w:ilvl w:val="0"/>
          <w:numId w:val="1004"/>
        </w:numPr>
        <w:pStyle w:val="Compact"/>
      </w:pPr>
      <w:r>
        <w:rPr>
          <w:bCs/>
          <w:b/>
        </w:rPr>
        <w:t xml:space="preserve">Central Bank Digital Currency (CBDC):</w:t>
      </w:r>
      <w:r>
        <w:t xml:space="preserve">The widespread adoption of the digital yuan will transform how bankers interact with customers offering instant settlements programmable money features enhanced transparency.</w:t>
      </w:r>
    </w:p>
    <w:p>
      <w:pPr>
        <w:numPr>
          <w:ilvl w:val="0"/>
          <w:numId w:val="1004"/>
        </w:numPr>
        <w:pStyle w:val="Compact"/>
      </w:pPr>
      <w:r>
        <w:rPr>
          <w:bCs/>
          <w:b/>
        </w:rPr>
        <w:t xml:space="preserve">Open Banking:</w:t>
      </w:r>
      <w:r>
        <w:t xml:space="preserve">Leveraging open APIs to allow third-party developers to build applications around banking infrastructure fostering innovation while maintaining security.</w:t>
      </w:r>
    </w:p>
    <w:p>
      <w:pPr>
        <w:numPr>
          <w:ilvl w:val="0"/>
          <w:numId w:val="1004"/>
        </w:numPr>
        <w:pStyle w:val="Compact"/>
      </w:pPr>
      <w:r>
        <w:rPr>
          <w:bCs/>
          <w:b/>
        </w:rPr>
        <w:t xml:space="preserve">Hyper-Personalization:</w:t>
      </w:r>
      <w:r>
        <w:t xml:space="preserve">Using AI to deliver highly personalized financial advice products tailored to individual life stages and consumption patterns.</w:t>
      </w:r>
    </w:p>
    <w:p>
      <w:pPr>
        <w:pStyle w:val="FirstParagraph"/>
      </w:pPr>
      <w:r>
        <w:t xml:space="preserve">The role of the</w:t>
      </w:r>
    </w:p>
    <w:p>
      <w:pPr>
        <w:pStyle w:val="BodyText"/>
      </w:pPr>
      <w:r>
        <w:rPr>
          <w:iCs/>
          <w:i/>
        </w:rPr>
        <w:t xml:space="preserve">Banker</w:t>
      </w:r>
      <w:r>
        <w:t xml:space="preserve"> </w:t>
      </w:r>
      <w:r>
        <w:t xml:space="preserve">in</w:t>
      </w:r>
      <w:r>
        <w:t xml:space="preserve"> </w:t>
      </w:r>
      <w:r>
        <w:rPr>
          <w:bCs/>
          <w:b/>
        </w:rPr>
        <w:t xml:space="preserve">China Beijing</w:t>
      </w:r>
      <w:r>
        <w:t xml:space="preserve"> </w:t>
      </w:r>
      <w:r>
        <w:t xml:space="preserve">is undergoing a radical transformation. No longer confined to brick-and-mortar branches handling routine transactions today's bankers are tech-savvy professionals navigating complex regulatory environments driving sustainable finance initiatives and facilitating global economic integration.</w:t>
      </w:r>
    </w:p>
    <w:p>
      <w:pPr>
        <w:pStyle w:val="BodyText"/>
      </w:pPr>
      <w:r>
        <w:t xml:space="preserve">This case study highlights that success in this sector requires adaptability continuous learning and a holistic understanding of both local Chinese dynamics and global financial trends. As</w:t>
      </w:r>
      <w:r>
        <w:t xml:space="preserve"> </w:t>
      </w:r>
      <w:r>
        <w:rPr>
          <w:bCs/>
          <w:b/>
        </w:rPr>
        <w:t xml:space="preserve">China Beijing</w:t>
      </w:r>
    </w:p>
    <w:p>
      <w:pPr>
        <w:pStyle w:val="BodyText"/>
      </w:pPr>
      <w:r>
        <w:t xml:space="preserve">Ultimately whether through supporting green energy projects facilitating cross-border trade via BRI or adopting cutting-edge fintech solutions bankers in Beijing play a crucial role in defining not just individual financial outcomes but also broader national and international economic trajectories. Their ability to evolve ensures that the financial system remains robust innovative and responsive to the needs of a rapidly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in China Beijing</dc:title>
  <dc:creator/>
  <dc:language>en</dc:language>
  <cp:keywords/>
  <dcterms:created xsi:type="dcterms:W3CDTF">2026-07-29T04:25:01Z</dcterms:created>
  <dcterms:modified xsi:type="dcterms:W3CDTF">2026-07-29T04:25:01Z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