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China</w:t>
      </w:r>
      <w:r>
        <w:t xml:space="preserve"> </w:t>
      </w:r>
      <w:r>
        <w:t xml:space="preserve">Guangzhou</w:t>
      </w:r>
    </w:p>
    <w:bookmarkStart w:id="27" w:name="Xcd5e12b76b61a90c09a80dfebdd09e82e67fe35"/>
    <w:p>
      <w:pPr>
        <w:pStyle w:val="Heading1"/>
      </w:pPr>
      <w:r>
        <w:t xml:space="preserve">The Strategic Banker in China Guangzhou: Navigating the Pearl River Delta Financial Landscape</w:t>
      </w:r>
    </w:p>
    <w:p>
      <w:pPr>
        <w:pStyle w:val="FirstParagraph"/>
      </w:pPr>
      <w:r>
        <w:rPr>
          <w:bCs/>
          <w:b/>
        </w:rPr>
        <w:t xml:space="preserve">Date:</w:t>
      </w:r>
      <w:r>
        <w:t xml:space="preserve"> </w:t>
      </w:r>
      <w:r>
        <w:t xml:space="preserve">October 26, 2023</w:t>
      </w:r>
      <w:r>
        <w:br/>
      </w:r>
      <w:r>
        <w:rPr>
          <w:bCs/>
          <w:b/>
        </w:rPr>
        <w:t xml:space="preserve">Subject:</w:t>
      </w:r>
      <w:r>
        <w:t xml:space="preserve">A Comprehensive Case Study on Banking Operations, Digital Transformation, and Regulatory Compliance in the Greater Bay Area</w:t>
      </w:r>
    </w:p>
    <w:bookmarkStart w:id="20" w:name="executive-summary"/>
    <w:p>
      <w:pPr>
        <w:pStyle w:val="Heading2"/>
      </w:pPr>
      <w:r>
        <w:t xml:space="preserve">1. Executive Summary</w:t>
      </w:r>
    </w:p>
    <w:p>
      <w:pPr>
        <w:pStyle w:val="FirstParagraph"/>
      </w:pPr>
      <w:r>
        <w:t xml:space="preserve">In the rapidly evolving financial ecosystem of China Guangzhou, the role of the traditional</w:t>
      </w:r>
      <w:r>
        <w:t xml:space="preserve"> </w:t>
      </w:r>
      <w:r>
        <w:rPr>
          <w:bCs/>
          <w:b/>
        </w:rPr>
        <w:t xml:space="preserve">Banker</w:t>
      </w:r>
      <w:r>
        <w:t xml:space="preserve"> </w:t>
      </w:r>
      <w:r>
        <w:t xml:space="preserve">has undergone a seismic shift. This case study examines how modern banking professionals in this dynamic southern metropolis have adapted to digital disruption, regulatory tightening, and the unique economic drivers of the Pearl River Delta. Guangzhou, as a historic trading hub and a core component of China’s Greater Bay Area (GBA) initiative, presents a unique microcosm for analyzing contemporary banking practices. The primary objective of this analysis is to understand how the</w:t>
      </w:r>
      <w:r>
        <w:t xml:space="preserve"> </w:t>
      </w:r>
      <w:r>
        <w:rPr>
          <w:bCs/>
          <w:b/>
        </w:rPr>
        <w:t xml:space="preserve">Banker</w:t>
      </w:r>
      <w:r>
        <w:t xml:space="preserve"> </w:t>
      </w:r>
      <w:r>
        <w:t xml:space="preserve">serves not merely as a custodian of assets, but as a strategic facilitator for cross-border trade, technological innovation, and sustainable growth within</w:t>
      </w:r>
      <w:r>
        <w:t xml:space="preserve"> </w:t>
      </w:r>
      <w:r>
        <w:rPr>
          <w:bCs/>
          <w:b/>
        </w:rPr>
        <w:t xml:space="preserve">China Guangzhou</w:t>
      </w:r>
      <w:r>
        <w:t xml:space="preserve">.</w:t>
      </w:r>
    </w:p>
    <w:bookmarkEnd w:id="20"/>
    <w:bookmarkStart w:id="21" w:name="X83bb51d7edb7a802c2f7a2a42a71c60380159b6"/>
    <w:p>
      <w:pPr>
        <w:pStyle w:val="Heading2"/>
      </w:pPr>
      <w:r>
        <w:t xml:space="preserve">2. Contextual Background: The Economic Engine of China Guangzhou</w:t>
      </w:r>
    </w:p>
    <w:p>
      <w:pPr>
        <w:pStyle w:val="FirstParagraph"/>
      </w:pPr>
      <w:r>
        <w:t xml:space="preserve">To understand the nuances of banking in this region, one must first appreciate the economic geography.</w:t>
      </w:r>
      <w:r>
        <w:t xml:space="preserve"> </w:t>
      </w:r>
      <w:r>
        <w:rPr>
          <w:bCs/>
          <w:b/>
        </w:rPr>
        <w:t xml:space="preserve">China Guangzhou</w:t>
      </w:r>
      <w:r>
        <w:t xml:space="preserve">, the provincial capital of Guangdong, is not just a commercial center; it is a gateway for international trade with Southeast Asia and beyond. The city hosts the Canton Fair annually, attracting millions in global commerce. Consequently, the local banking sector operates at a high velocity compared to other parts of China.</w:t>
      </w:r>
    </w:p>
    <w:p>
      <w:pPr>
        <w:pStyle w:val="BodyText"/>
      </w:pPr>
      <w:r>
        <w:t xml:space="preserve">The Greater Bay Area integration policy has further complicated and enriched this landscape. It requires seamless financial connectivity between Guangzhou, Hong Kong, Macau, and nine cities in the Pearl River Delta. For the</w:t>
      </w:r>
      <w:r>
        <w:t xml:space="preserve"> </w:t>
      </w:r>
      <w:r>
        <w:rPr>
          <w:bCs/>
          <w:b/>
        </w:rPr>
        <w:t xml:space="preserve">Banker</w:t>
      </w:r>
      <w:r>
        <w:t xml:space="preserve"> </w:t>
      </w:r>
      <w:r>
        <w:t xml:space="preserve">operating in this environment, understanding multi-jurisdictional compliance is no longer optional—it is existential. The friction between mainland China’s strict capital controls and the freer markets of Hong Kong creates a complex operational terrain that requires sophisticated financial engineering.</w:t>
      </w:r>
    </w:p>
    <w:bookmarkEnd w:id="21"/>
    <w:bookmarkStart w:id="22" w:name="the-transformation-of-the-banker-role"/>
    <w:p>
      <w:pPr>
        <w:pStyle w:val="Heading2"/>
      </w:pPr>
      <w:r>
        <w:t xml:space="preserve">3. The Transformation of the Banker Role</w:t>
      </w:r>
    </w:p>
    <w:p>
      <w:pPr>
        <w:pStyle w:val="FirstParagraph"/>
      </w:pPr>
      <w:r>
        <w:rPr>
          <w:bCs/>
          <w:b/>
        </w:rPr>
        <w:t xml:space="preserve">a. From Transactional to Advisory</w:t>
      </w:r>
    </w:p>
    <w:p>
      <w:pPr>
        <w:pStyle w:val="BodyText"/>
      </w:pPr>
      <w:r>
        <w:t xml:space="preserve">In previous decades, the primary function of a</w:t>
      </w:r>
      <w:r>
        <w:t xml:space="preserve"> </w:t>
      </w:r>
      <w:r>
        <w:rPr>
          <w:bCs/>
          <w:b/>
        </w:rPr>
        <w:t xml:space="preserve">Banker</w:t>
      </w:r>
      <w:r>
        <w:t xml:space="preserve"> </w:t>
      </w:r>
      <w:r>
        <w:t xml:space="preserve">in Guangzhou was transactional: processing payments, managing deposits, and issuing letters of credit. Today, due to the digitization of routine tasks by fintech giants like Alipay and WeChat Pay—which have deep penetration in</w:t>
      </w:r>
      <w:r>
        <w:t xml:space="preserve"> </w:t>
      </w:r>
      <w:r>
        <w:rPr>
          <w:bCs/>
          <w:b/>
        </w:rPr>
        <w:t xml:space="preserve">China Guangzhou</w:t>
      </w:r>
    </w:p>
    <w:p>
      <w:pPr>
        <w:pStyle w:val="BodyText"/>
      </w:pPr>
      <w:r>
        <w:t xml:space="preserve">,—the value proposition has shifted toward advisory services. Modern bankers must provide strategic insights on supply chain finance, wealth management for high-net-worth individuals moving capital across borders, and ESG (Environmental, Social, and Governance) consulting for local manufacturing firms looking to export.</w:t>
      </w:r>
    </w:p>
    <w:p>
      <w:pPr>
        <w:pStyle w:val="BodyText"/>
      </w:pPr>
      <w:r>
        <w:rPr>
          <w:bCs/>
          <w:b/>
        </w:rPr>
        <w:t xml:space="preserve">b. Digital Integration and Fintech Collaboration</w:t>
      </w:r>
    </w:p>
    <w:p>
      <w:pPr>
        <w:pStyle w:val="BodyText"/>
      </w:pPr>
      <w:r>
        <w:t xml:space="preserve">The case of Banker Lin, a relationship manager at a leading joint-stock commercial bank in Zhujiang New Town (Guangzhou’s financial district), illustrates this shift. Facing stiff competition from tech-driven platforms, Lin utilized the bank’s API banking solutions to integrate directly with his clients’ Enterprise Resource Planning (ERP) systems. This allowed for real-time liquidity management for small and medium-sized enterprises (SMEs) trading in Guangzhou. By acting as a digital integrator rather than just a loan officer, Banker Lin increased client retention by 40% within two years.</w:t>
      </w:r>
    </w:p>
    <w:bookmarkEnd w:id="22"/>
    <w:bookmarkStart w:id="23" w:name="key-challenges-and-strategic-responses"/>
    <w:p>
      <w:pPr>
        <w:pStyle w:val="Heading2"/>
      </w:pPr>
      <w:r>
        <w:t xml:space="preserve">4. Key Challenges and Strategic Responses</w:t>
      </w:r>
    </w:p>
    <w:p>
      <w:pPr>
        <w:pStyle w:val="FirstParagraph"/>
      </w:pPr>
      <w:r>
        <w:rPr>
          <w:bCs/>
          <w:b/>
        </w:rPr>
        <w:t xml:space="preserve">a. Regulatory Compliance and Anti-Money Laundering (AML)</w:t>
      </w:r>
    </w:p>
    <w:p>
      <w:pPr>
        <w:pStyle w:val="BodyText"/>
      </w:pPr>
      <w:r>
        <w:t xml:space="preserve">The People’s Bank of China has intensified its oversight mechanisms, particularly concerning cross-border capital flows in the Greater Bay Area. For a</w:t>
      </w:r>
      <w:r>
        <w:t xml:space="preserve"> </w:t>
      </w:r>
      <w:r>
        <w:rPr>
          <w:bCs/>
          <w:b/>
        </w:rPr>
        <w:t xml:space="preserve">Banker</w:t>
      </w:r>
      <w:r>
        <w:t xml:space="preserve">, ensuring compliance while maintaining operational efficiency is a delicate balancing act. In Guangzhou, where trade volumes are massive, false positives in AML screening can delay shipments and damage client relationships. The solution implemented by several major banks involves AI-driven transaction monitoring systems that learn local trading patterns specific to the Pearl River Delta, reducing friction without compromising security.</w:t>
      </w:r>
    </w:p>
    <w:p>
      <w:pPr>
        <w:pStyle w:val="BodyText"/>
      </w:pPr>
      <w:r>
        <w:rPr>
          <w:bCs/>
          <w:b/>
        </w:rPr>
        <w:t xml:space="preserve">b. Cultural Nuances and Client Trust</w:t>
      </w:r>
    </w:p>
    <w:p>
      <w:pPr>
        <w:pStyle w:val="BodyText"/>
      </w:pPr>
      <w:r>
        <w:t xml:space="preserve">In Chinese business culture, particularly in Guangdong province, "Guanxi" (relationships) remains paramount. The modern</w:t>
      </w:r>
      <w:r>
        <w:t xml:space="preserve"> </w:t>
      </w:r>
      <w:r>
        <w:rPr>
          <w:bCs/>
          <w:b/>
        </w:rPr>
        <w:t xml:space="preserve">Banker</w:t>
      </w:r>
      <w:r>
        <w:t xml:space="preserve"> </w:t>
      </w:r>
      <w:r>
        <w:t xml:space="preserve">must blend high-tech solutions with high-touch relationship management. While digital tools handle the transactions, personal interactions are critical for complex financing deals. Bankers in Guangzhou often engage in local cultural activities and understand the specific dialectal and business etiquette nuances of the Lingnan region to build deeper trust than foreign competitors might achieve.</w:t>
      </w:r>
    </w:p>
    <w:bookmarkEnd w:id="23"/>
    <w:bookmarkStart w:id="24" w:name="Xc989bdfd3bb4efbbe42d9597d1cd379de3f780f"/>
    <w:p>
      <w:pPr>
        <w:pStyle w:val="Heading2"/>
      </w:pPr>
      <w:r>
        <w:t xml:space="preserve">5. Case Study Spotlight: Facilitating Green Finance</w:t>
      </w:r>
    </w:p>
    <w:p>
      <w:pPr>
        <w:pStyle w:val="FirstParagraph"/>
      </w:pPr>
      <w:r>
        <w:t xml:space="preserve">A compelling example of this evolution is found in the financing of new energy vehicle (NEV) manufacturers in Guangzhou. As the city pushes for carbon neutrality, local banks have launched specialized green bonds and loans. The</w:t>
      </w:r>
      <w:r>
        <w:t xml:space="preserve"> </w:t>
      </w:r>
      <w:r>
        <w:rPr>
          <w:bCs/>
          <w:b/>
        </w:rPr>
        <w:t xml:space="preserve">Banker</w:t>
      </w:r>
      <w:r>
        <w:t xml:space="preserve"> </w:t>
      </w:r>
      <w:r>
        <w:t xml:space="preserve">plays a crucial role here by verifying environmental impact metrics alongside financial viability. For instance, during the financing of a major EV battery plant in Panyu District, Bankers collaborated with international auditors to ensure the project met global ESG standards, allowing the client to access international capital markets. This demonstrates how the</w:t>
      </w:r>
      <w:r>
        <w:t xml:space="preserve"> </w:t>
      </w:r>
      <w:r>
        <w:rPr>
          <w:bCs/>
          <w:b/>
        </w:rPr>
        <w:t xml:space="preserve">Banker</w:t>
      </w:r>
      <w:r>
        <w:t xml:space="preserve"> </w:t>
      </w:r>
      <w:r>
        <w:t xml:space="preserve">in</w:t>
      </w:r>
      <w:r>
        <w:t xml:space="preserve"> </w:t>
      </w:r>
      <w:r>
        <w:rPr>
          <w:bCs/>
          <w:b/>
        </w:rPr>
        <w:t xml:space="preserve">China Guangzhou</w:t>
      </w:r>
    </w:p>
    <w:p>
      <w:pPr>
        <w:pStyle w:val="BodyText"/>
      </w:pPr>
      <w:r>
        <w:t xml:space="preserve">, is becoming a bridge between local industrial policy and global financial expectations.</w:t>
      </w:r>
    </w:p>
    <w:bookmarkEnd w:id="24"/>
    <w:bookmarkStart w:id="25" w:name="future-outlook-and-recommendations"/>
    <w:p>
      <w:pPr>
        <w:pStyle w:val="Heading2"/>
      </w:pPr>
      <w:r>
        <w:t xml:space="preserve">6. Future Outlook and Recommendations</w:t>
      </w:r>
    </w:p>
    <w:p>
      <w:pPr>
        <w:pStyle w:val="FirstParagraph"/>
      </w:pPr>
      <w:r>
        <w:t xml:space="preserve">The future of banking in this region will be defined by three factors: the continued integration of the Greater Bay Area, the dominance of digital currencies (including the Digital Yuan pilot programs prevalent in Guangzhou), and climate finance.</w:t>
      </w:r>
    </w:p>
    <w:p>
      <w:pPr>
        <w:numPr>
          <w:ilvl w:val="0"/>
          <w:numId w:val="1001"/>
        </w:numPr>
        <w:pStyle w:val="Compact"/>
      </w:pPr>
      <w:r>
        <w:rPr>
          <w:bCs/>
          <w:b/>
        </w:rPr>
        <w:t xml:space="preserve">Skill Development:</w:t>
      </w:r>
      <w:r>
        <w:t xml:space="preserve"> </w:t>
      </w:r>
      <w:r>
        <w:t xml:space="preserve">The modern</w:t>
      </w:r>
      <w:r>
        <w:t xml:space="preserve"> </w:t>
      </w:r>
      <w:r>
        <w:rPr>
          <w:bCs/>
          <w:b/>
        </w:rPr>
        <w:t xml:space="preserve">Banker</w:t>
      </w:r>
      <w:r>
        <w:t xml:space="preserve"> </w:t>
      </w:r>
      <w:r>
        <w:t xml:space="preserve">requires training in data analytics and blockchain technology alongside traditional financial theory.</w:t>
      </w:r>
    </w:p>
    <w:p>
      <w:pPr>
        <w:numPr>
          <w:ilvl w:val="0"/>
          <w:numId w:val="1001"/>
        </w:numPr>
        <w:pStyle w:val="Compact"/>
      </w:pPr>
      <w:r>
        <w:t xml:space="preserve">Cross-Border Expertise:&gt; Understanding the legal frameworks of both mainland China and international jurisdictions is essential for serving Guangzhou’s export-oriented economy.</w:t>
      </w:r>
    </w:p>
    <w:p>
      <w:pPr>
        <w:numPr>
          <w:ilvl w:val="0"/>
          <w:numId w:val="1001"/>
        </w:numPr>
        <w:pStyle w:val="Compact"/>
      </w:pPr>
      <w:r>
        <w:rPr>
          <w:bCs/>
          <w:b/>
        </w:rPr>
        <w:t xml:space="preserve">Sustainability Focus:</w:t>
      </w:r>
      <w:r>
        <w:t xml:space="preserve"> </w:t>
      </w:r>
      <w:r>
        <w:t xml:space="preserve">Banks must align their portfolios with the national "Dual Carbon" goals, offering incentives for green businesses.</w:t>
      </w:r>
    </w:p>
    <w:bookmarkEnd w:id="25"/>
    <w:bookmarkStart w:id="26" w:name="conclusion"/>
    <w:p>
      <w:pPr>
        <w:pStyle w:val="Heading2"/>
      </w:pPr>
      <w:r>
        <w:t xml:space="preserve">7. Conclusion</w:t>
      </w:r>
    </w:p>
    <w:p>
      <w:pPr>
        <w:pStyle w:val="FirstParagraph"/>
      </w:pPr>
      <w:r>
        <w:t xml:space="preserve">The case of the banking sector in Guangzhou illustrates that the role of the</w:t>
      </w:r>
      <w:r>
        <w:t xml:space="preserve"> </w:t>
      </w:r>
      <w:r>
        <w:rPr>
          <w:bCs/>
          <w:b/>
        </w:rPr>
        <w:t xml:space="preserve">Banker</w:t>
      </w:r>
    </w:p>
    <w:p>
      <w:pPr>
        <w:pStyle w:val="BodyText"/>
      </w:pPr>
      <w:r>
        <w:t xml:space="preserve">&gt; is far from obsolete; it is merely transforming. In the vibrant and complex environment of</w:t>
      </w:r>
      <w:r>
        <w:t xml:space="preserve"> </w:t>
      </w:r>
      <w:r>
        <w:rPr>
          <w:bCs/>
          <w:b/>
        </w:rPr>
        <w:t xml:space="preserve">China Guangzhou</w:t>
      </w:r>
      <w:r>
        <w:t xml:space="preserve">, bankers are evolving into sophisticated financial architects who navigate regulatory mazes, leverage digital infrastructure, and foster sustainable economic growth. Success in this market requires a dual competency: mastery of cutting-edge financial technology and a deep respect for the traditional relationship-based business culture of southern China. As Guangzhou continues to solidify its status as a global innovation hub, the</w:t>
      </w:r>
      <w:r>
        <w:t xml:space="preserve"> </w:t>
      </w:r>
      <w:r>
        <w:rPr>
          <w:bCs/>
          <w:b/>
        </w:rPr>
        <w:t xml:space="preserve">Banker</w:t>
      </w:r>
      <w:r>
        <w:t xml:space="preserve"> </w:t>
      </w:r>
      <w:r>
        <w:t xml:space="preserve">will remain an indispensable catalyst for economic vitality, bridging the gap between local enterprise and global opportunity.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Banker Role in China Guangzhou</dc:title>
  <dc:creator/>
  <dc:language>en</dc:language>
  <cp:keywords/>
  <dcterms:created xsi:type="dcterms:W3CDTF">2026-07-29T15:45:45Z</dcterms:created>
  <dcterms:modified xsi:type="dcterms:W3CDTF">2026-07-29T15:45:45Z</dcterms:modified>
</cp:coreProperties>
</file>

<file path=docProps/custom.xml><?xml version="1.0" encoding="utf-8"?>
<Properties xmlns="http://schemas.openxmlformats.org/officeDocument/2006/custom-properties" xmlns:vt="http://schemas.openxmlformats.org/officeDocument/2006/docPropsVTypes"/>
</file>