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Shanghai</w:t>
      </w:r>
    </w:p>
    <w:bookmarkStart w:id="29" w:name="X3bbb5424a71d8ef6efa0ab06486567f30ee3efe"/>
    <w:p>
      <w:pPr>
        <w:pStyle w:val="Heading1"/>
      </w:pPr>
      <w:r>
        <w:t xml:space="preserve">Case Study: The Modernization of the Banker in China Shanghai</w:t>
      </w:r>
    </w:p>
    <w:p>
      <w:pPr>
        <w:pStyle w:val="FirstParagraph"/>
      </w:pPr>
      <w:r>
        <w:rPr>
          <w:iCs/>
          <w:i/>
          <w:bCs/>
          <w:b/>
        </w:rPr>
        <w:t xml:space="preserve">Note:</w:t>
      </w:r>
      <w:r>
        <w:t xml:space="preserve">: This document is strictly written in English and formatted as an HTML case study focusing on the critical role, evolution, and operational challenges of a</w:t>
      </w:r>
      <w:r>
        <w:t xml:space="preserve"> </w:t>
      </w:r>
      <w:r>
        <w:rPr>
          <w:bCs/>
          <w:b/>
        </w:rPr>
        <w:t xml:space="preserve">Banker</w:t>
      </w:r>
      <w:r>
        <w:t xml:space="preserve"> </w:t>
      </w:r>
      <w:r>
        <w:t xml:space="preserve">operating within the high-stakes financial hub of</w:t>
      </w:r>
      <w:r>
        <w:t xml:space="preserve"> </w:t>
      </w:r>
      <w:r>
        <w:rPr>
          <w:bCs/>
          <w:b/>
        </w:rPr>
        <w:t xml:space="preserve">China Shanghai</w:t>
      </w:r>
      <w:r>
        <w:t xml:space="preserve">.</w:t>
      </w:r>
    </w:p>
    <w:bookmarkStart w:id="20" w:name="executive-summary"/>
    <w:p>
      <w:pPr>
        <w:pStyle w:val="Heading2"/>
      </w:pPr>
      <w:r>
        <w:t xml:space="preserve">1. Executive Summary</w:t>
      </w:r>
    </w:p>
    <w:p>
      <w:pPr>
        <w:pStyle w:val="FirstParagraph"/>
      </w:pPr>
      <w:r>
        <w:t xml:space="preserve">The financial landscape of the twenty-first century has undergone a seismic shift, particularly in emerging markets where traditional banking structures collide with rapid digital innovation. This case study examines the transformative journey of the professional</w:t>
      </w:r>
      <w:r>
        <w:t xml:space="preserve"> </w:t>
      </w:r>
      <w:r>
        <w:rPr>
          <w:bCs/>
          <w:b/>
        </w:rPr>
        <w:t xml:space="preserve">Banker</w:t>
      </w:r>
      <w:r>
        <w:t xml:space="preserve">, specifically analyzing their adaptation to regulatory complexities and technological disruptions within</w:t>
      </w:r>
      <w:r>
        <w:t xml:space="preserve"> </w:t>
      </w:r>
      <w:r>
        <w:rPr>
          <w:bCs/>
          <w:b/>
        </w:rPr>
        <w:t xml:space="preserve">China Shanghai</w:t>
      </w:r>
      <w:r>
        <w:t xml:space="preserve">. As one of China's four direct-administered municipalities and its primary economic engine,</w:t>
      </w:r>
      <w:r>
        <w:t xml:space="preserve"> </w:t>
      </w:r>
      <w:r>
        <w:rPr>
          <w:bCs/>
          <w:b/>
        </w:rPr>
        <w:t xml:space="preserve">China Shanghai</w:t>
      </w:r>
      <w:r>
        <w:t xml:space="preserve"> </w:t>
      </w:r>
      <w:r>
        <w:t xml:space="preserve">serves as a unique microcosm for global banking trends. The study highlights how the role of the banker has evolved from transactional custodian to strategic digital advisor, driven by the intense competitive environment of this specific geographic region.</w:t>
      </w:r>
    </w:p>
    <w:bookmarkEnd w:id="20"/>
    <w:bookmarkStart w:id="21" w:name="Xa76823d590a9ea6b3b709fe3c9dc352ab442ae8"/>
    <w:p>
      <w:pPr>
        <w:pStyle w:val="Heading2"/>
      </w:pPr>
      <w:r>
        <w:t xml:space="preserve">2. Contextual Background: The Shanghai Financial Hub</w:t>
      </w:r>
    </w:p>
    <w:p>
      <w:pPr>
        <w:pStyle w:val="FirstParagraph"/>
      </w:pPr>
      <w:r>
        <w:t xml:space="preserve">To understand the specific pressures faced by a</w:t>
      </w:r>
      <w:r>
        <w:t xml:space="preserve"> </w:t>
      </w:r>
      <w:r>
        <w:rPr>
          <w:bCs/>
          <w:b/>
        </w:rPr>
        <w:t xml:space="preserve">Banker</w:t>
      </w:r>
      <w:r>
        <w:t xml:space="preserve">, one must first appreciate the unique economic ecosystem of</w:t>
      </w:r>
      <w:r>
        <w:t xml:space="preserve"> </w:t>
      </w:r>
      <w:r>
        <w:rPr>
          <w:bCs/>
          <w:b/>
        </w:rPr>
        <w:t xml:space="preserve">China Shanghai</w:t>
      </w:r>
      <w:r>
        <w:t xml:space="preserve">. Located at the mouth of the Yangtze River, this city is not merely a commercial center but the beating heart of China’s financial system. The presence of the Shanghai Stock Exchange, along with numerous international bank headquarters and domestic giants like Bank of Communications, creates an environment characterized by high liquidity and intense competition.</w:t>
      </w:r>
    </w:p>
    <w:p>
      <w:pPr>
        <w:pStyle w:val="BodyText"/>
      </w:pPr>
      <w:r>
        <w:t xml:space="preserve">In recent years,</w:t>
      </w:r>
      <w:r>
        <w:t xml:space="preserve"> </w:t>
      </w:r>
      <w:r>
        <w:rPr>
          <w:bCs/>
          <w:b/>
        </w:rPr>
        <w:t xml:space="preserve">China Shanghai</w:t>
      </w:r>
      <w:r>
        <w:t xml:space="preserve"> </w:t>
      </w:r>
      <w:r>
        <w:t xml:space="preserve">has been designated as a pilot zone for financial opening-up policies. This designation allows foreign investors greater access to local markets but simultaneously imposes stricter compliance requirements on domestic institutions. For the local and expatriate</w:t>
      </w:r>
      <w:r>
        <w:t xml:space="preserve"> </w:t>
      </w:r>
      <w:r>
        <w:rPr>
          <w:bCs/>
          <w:b/>
        </w:rPr>
        <w:t xml:space="preserve">Banker</w:t>
      </w:r>
      <w:r>
        <w:t xml:space="preserve">, this dual dynamic creates a complex operating environment where speed, accuracy, and regulatory adherence are paramount.</w:t>
      </w:r>
    </w:p>
    <w:bookmarkEnd w:id="21"/>
    <w:bookmarkStart w:id="22" w:name="X88bbc896063d47ab736c7ea5104b9b8305f0d82"/>
    <w:p>
      <w:pPr>
        <w:pStyle w:val="Heading2"/>
      </w:pPr>
      <w:r>
        <w:t xml:space="preserve">3. Problem Statement: The Crisis of Relevance</w:t>
      </w:r>
    </w:p>
    <w:p>
      <w:pPr>
        <w:pStyle w:val="FirstParagraph"/>
      </w:pPr>
      <w:r>
        <w:t xml:space="preserve">The central problem identified in this case study is the erosion of traditional value propositions held by the</w:t>
      </w:r>
      <w:r>
        <w:t xml:space="preserve"> </w:t>
      </w:r>
      <w:r>
        <w:rPr>
          <w:bCs/>
          <w:b/>
        </w:rPr>
        <w:t xml:space="preserve">Banker</w:t>
      </w:r>
      <w:r>
        <w:t xml:space="preserve">. Historically, a banker’s primary utility lay in information asymmetry—knowing what clients did not know about interest rates, market trends, or creditworthiness. However, in the digital age epitomized by fintech giants such as Ant Group and Tencent Pay, which have their headquarters deeply embedded within the Shanghai tech ecosystem this information is now freely available.</w:t>
      </w:r>
    </w:p>
    <w:p>
      <w:pPr>
        <w:pStyle w:val="BodyText"/>
      </w:pPr>
      <w:r>
        <w:t xml:space="preserve">The challenge for the</w:t>
      </w:r>
      <w:r>
        <w:t xml:space="preserve"> </w:t>
      </w:r>
      <w:r>
        <w:rPr>
          <w:bCs/>
          <w:b/>
        </w:rPr>
        <w:t xml:space="preserve">Banker</w:t>
      </w:r>
      <w:r>
        <w:t xml:space="preserve"> </w:t>
      </w:r>
      <w:r>
        <w:t xml:space="preserve">in</w:t>
      </w:r>
      <w:r>
        <w:t xml:space="preserve"> </w:t>
      </w:r>
      <w:r>
        <w:rPr>
          <w:bCs/>
          <w:b/>
        </w:rPr>
        <w:t xml:space="preserve">China Shanghai</w:t>
      </w:r>
      <w:r>
        <w:t xml:space="preserve"> </w:t>
      </w:r>
      <w:r>
        <w:t xml:space="preserve">is twofold: first, to combat customer churn driven by seamless digital-first competitors, and second, to navigate the stringent data privacy laws introduced by the Chinese government. The traditional model of relationship banking is being tested by algorithms that can assess credit risk in milliseconds. The question facing bank executives in</w:t>
      </w:r>
      <w:r>
        <w:t xml:space="preserve"> </w:t>
      </w:r>
      <w:r>
        <w:rPr>
          <w:bCs/>
          <w:b/>
        </w:rPr>
        <w:t xml:space="preserve">China Shanghai</w:t>
      </w:r>
      <w:r>
        <w:t xml:space="preserve"> </w:t>
      </w:r>
      <w:r>
        <w:t xml:space="preserve">is no longer just how to lend money, but how a human</w:t>
      </w:r>
      <w:r>
        <w:t xml:space="preserve"> </w:t>
      </w:r>
      <w:r>
        <w:rPr>
          <w:bCs/>
          <w:b/>
        </w:rPr>
        <w:t xml:space="preserve">Banker</w:t>
      </w:r>
      <w:r>
        <w:t xml:space="preserve"> </w:t>
      </w:r>
      <w:r>
        <w:t xml:space="preserve">can provide value beyond what an app cannot.</w:t>
      </w:r>
    </w:p>
    <w:bookmarkEnd w:id="22"/>
    <w:bookmarkStart w:id="26" w:name="X484d74f83802b04985758b067f5ad8bcc33d318"/>
    <w:p>
      <w:pPr>
        <w:pStyle w:val="Heading2"/>
      </w:pPr>
      <w:r>
        <w:t xml:space="preserve">4. Strategic Response: Digital Integration and Hyper-Personalization</w:t>
      </w:r>
    </w:p>
    <w:p>
      <w:pPr>
        <w:pStyle w:val="FirstParagraph"/>
      </w:pPr>
      <w:r>
        <w:t xml:space="preserve">In response to these challenges, leading financial institutions in</w:t>
      </w:r>
      <w:r>
        <w:t xml:space="preserve"> </w:t>
      </w:r>
      <w:r>
        <w:rPr>
          <w:bCs/>
          <w:b/>
        </w:rPr>
        <w:t xml:space="preserve">China Shanghai</w:t>
      </w:r>
      <w:r>
        <w:rPr>
          <w:iCs/>
          <w:i/>
        </w:rPr>
        <w:t xml:space="preserve">,</w:t>
      </w:r>
      <w:r>
        <w:br/>
      </w:r>
      <w:r>
        <w:t xml:space="preserve">have mandated a radical restructuring of the banker’s workflow. The case study highlights three key strategic pillars:</w:t>
      </w:r>
    </w:p>
    <w:bookmarkStart w:id="23" w:name="the-rise-of-the-super-app-ecosystem"/>
    <w:p>
      <w:pPr>
        <w:pStyle w:val="Heading3"/>
      </w:pPr>
      <w:r>
        <w:t xml:space="preserve">4.1. The Rise of the "Super-App" Ecosystem</w:t>
      </w:r>
    </w:p>
    <w:p>
      <w:pPr>
        <w:pStyle w:val="FirstParagraph"/>
      </w:pPr>
      <w:r>
        <w:t xml:space="preserve">The modern</w:t>
      </w:r>
      <w:r>
        <w:t xml:space="preserve"> </w:t>
      </w:r>
      <w:r>
        <w:rPr>
          <w:bCs/>
          <w:b/>
        </w:rPr>
        <w:t xml:space="preserve">Banker</w:t>
      </w:r>
      <w:r>
        <w:rPr>
          <w:iCs/>
          <w:i/>
        </w:rPr>
        <w:t xml:space="preserve">,</w:t>
      </w:r>
      <w:r>
        <w:br/>
      </w:r>
      <w:r>
        <w:t xml:space="preserve">in</w:t>
      </w:r>
      <w:r>
        <w:t xml:space="preserve"> </w:t>
      </w:r>
      <w:r>
        <w:rPr>
          <w:bCs/>
          <w:b/>
        </w:rPr>
        <w:t xml:space="preserve">China Shanghai</w:t>
      </w:r>
      <w:r>
        <w:t xml:space="preserve">, no longer operates in isolation. They are integrated into a broader ecosystem of services including e-commerce, logistics, and lifestyle management. Banks have developed proprietary mobile applications that rival standalone fintech apps in functionality. The banker’s role has shifted to guiding customers through these complex digital landscapes. For example, during the pandemic, bankers were tasked not only with managing savings accounts but also facilitating access to government subsidy programs via digital interfaces.</w:t>
      </w:r>
    </w:p>
    <w:bookmarkEnd w:id="23"/>
    <w:bookmarkStart w:id="24" w:name="big-data-and-ai-assisted-decision-making"/>
    <w:p>
      <w:pPr>
        <w:pStyle w:val="Heading3"/>
      </w:pPr>
      <w:r>
        <w:t xml:space="preserve">4.2. Big Data and AI-Assisted Decision Making</w:t>
      </w:r>
    </w:p>
    <w:p>
      <w:pPr>
        <w:pStyle w:val="FirstParagraph"/>
      </w:pPr>
      <w:r>
        <w:t xml:space="preserve">To maintain relevance, the</w:t>
      </w:r>
      <w:r>
        <w:t xml:space="preserve"> </w:t>
      </w:r>
      <w:r>
        <w:rPr>
          <w:bCs/>
          <w:b/>
        </w:rPr>
        <w:t xml:space="preserve">Banker</w:t>
      </w:r>
      <w:r>
        <w:rPr>
          <w:iCs/>
          <w:i/>
        </w:rPr>
        <w:t xml:space="preserve">,</w:t>
      </w:r>
      <w:r>
        <w:br/>
      </w:r>
      <w:r>
        <w:t xml:space="preserve">must leverage artificial intelligence. In branches across the Huangpu and Pudong districts, bankers use AI-driven dashboards that provide real-time insights into client behavior. If a retail client in Shanghai frequently purchases high-end electronics or travels internationally, the system alerts the banker to offer tailored wealth management products. This human-in-the-loop approach combines the efficiency of machine learning with the empathy and trust-building capabilities of a professional</w:t>
      </w:r>
      <w:r>
        <w:t xml:space="preserve"> </w:t>
      </w:r>
      <w:r>
        <w:rPr>
          <w:bCs/>
          <w:b/>
        </w:rPr>
        <w:t xml:space="preserve">Banker</w:t>
      </w:r>
      <w:r>
        <w:t xml:space="preserve">. This hybrid model has proven essential in</w:t>
      </w:r>
      <w:r>
        <w:t xml:space="preserve"> </w:t>
      </w:r>
      <w:r>
        <w:rPr>
          <w:bCs/>
          <w:b/>
        </w:rPr>
        <w:t xml:space="preserve">China Shanghai</w:t>
      </w:r>
      <w:r>
        <w:t xml:space="preserve">, where consumer expectations for personalized service remain exceptionally high.</w:t>
      </w:r>
    </w:p>
    <w:bookmarkEnd w:id="24"/>
    <w:bookmarkStart w:id="25" w:name="X6e2b801533474722e55081c2386f618d13762a8"/>
    <w:p>
      <w:pPr>
        <w:pStyle w:val="Heading3"/>
      </w:pPr>
      <w:r>
        <w:t xml:space="preserve">4.3. Regulatory Compliance as a Core Competency</w:t>
      </w:r>
    </w:p>
    <w:p>
      <w:pPr>
        <w:pStyle w:val="FirstParagraph"/>
      </w:pPr>
      <w:r>
        <w:t xml:space="preserve">The regulatory environment in China is dynamic and strict. For the</w:t>
      </w:r>
      <w:r>
        <w:t xml:space="preserve"> </w:t>
      </w:r>
      <w:r>
        <w:rPr>
          <w:bCs/>
          <w:b/>
        </w:rPr>
        <w:t xml:space="preserve">Banker</w:t>
      </w:r>
      <w:r>
        <w:rPr>
          <w:iCs/>
          <w:i/>
        </w:rPr>
        <w:t xml:space="preserve">,</w:t>
      </w:r>
      <w:r>
        <w:br/>
      </w:r>
      <w:r>
        <w:t xml:space="preserve">operating in Shanghai, understanding anti-money laundering (AML) protocols and cross-border capital flow restrictions is not optional—it is survival. The case study notes that training programs for bankers now dedicate 40% of their curriculum to compliance and risk management. This shift ensures that the</w:t>
      </w:r>
      <w:r>
        <w:t xml:space="preserve"> </w:t>
      </w:r>
      <w:r>
        <w:rPr>
          <w:bCs/>
          <w:b/>
        </w:rPr>
        <w:t xml:space="preserve">Banker</w:t>
      </w:r>
      <w:r>
        <w:rPr>
          <w:iCs/>
          <w:i/>
        </w:rPr>
        <w:t xml:space="preserve">,</w:t>
      </w:r>
      <w:r>
        <w:br/>
      </w:r>
      <w:r>
        <w:t xml:space="preserve">acts as the first line of defense for the institution, safeguarding its license to operate in one of Asia's most scrutinized financial markets.</w:t>
      </w:r>
    </w:p>
    <w:bookmarkEnd w:id="25"/>
    <w:bookmarkEnd w:id="26"/>
    <w:bookmarkStart w:id="27" w:name="challenges-and-friction-points"/>
    <w:p>
      <w:pPr>
        <w:pStyle w:val="Heading2"/>
      </w:pPr>
      <w:r>
        <w:t xml:space="preserve">5. Challenges and Friction Points</w:t>
      </w:r>
    </w:p>
    <w:p>
      <w:pPr>
        <w:pStyle w:val="FirstParagraph"/>
      </w:pPr>
      <w:r>
        <w:t xml:space="preserve">Despite these advancements, significant challenges remain. There is a generational divide within the workforce in Shanghai. Older bankers often struggle with the technical proficiency required to navigate new digital tools, while younger employees may lack the deep industry knowledge necessary to advise high-net-worth individuals effectively. Furthermore, the "996" work culture (working from 9 am to 9 pm, six days a week) prevalent in many Chinese tech and finance sectors adds immense pressure on bankers, leading to burnout risks.</w:t>
      </w:r>
    </w:p>
    <w:p>
      <w:pPr>
        <w:pStyle w:val="BodyText"/>
      </w:pPr>
      <w:r>
        <w:t xml:space="preserve">Additionally, the cultural nuance of *Guanxi* (relationships) remains vital in</w:t>
      </w:r>
      <w:r>
        <w:t xml:space="preserve"> </w:t>
      </w:r>
      <w:r>
        <w:rPr>
          <w:bCs/>
          <w:b/>
        </w:rPr>
        <w:t xml:space="preserve">China Shanghai</w:t>
      </w:r>
      <w:r>
        <w:t xml:space="preserve">. While technology can process data, it cannot replicate the subtle social dynamics required to build trust with traditional business families. The modern banker must therefore be bilingual not just in language, but in code and culture.</w:t>
      </w:r>
    </w:p>
    <w:bookmarkEnd w:id="27"/>
    <w:bookmarkStart w:id="28" w:name="conclusion-and-future-outlook"/>
    <w:p>
      <w:pPr>
        <w:pStyle w:val="Heading2"/>
      </w:pPr>
      <w:r>
        <w:t xml:space="preserve">6. Conclusion and Future Outlook</w:t>
      </w:r>
    </w:p>
    <w:p>
      <w:pPr>
        <w:pStyle w:val="FirstParagraph"/>
      </w:pPr>
      <w:r>
        <w:t xml:space="preserve">The case of the</w:t>
      </w:r>
      <w:r>
        <w:t xml:space="preserve"> </w:t>
      </w:r>
      <w:r>
        <w:rPr>
          <w:bCs/>
          <w:b/>
        </w:rPr>
        <w:t xml:space="preserve">Banker</w:t>
      </w:r>
      <w:r>
        <w:rPr>
          <w:iCs/>
          <w:i/>
        </w:rPr>
        <w:t xml:space="preserve">,</w:t>
      </w:r>
      <w:r>
        <w:br/>
      </w:r>
      <w:r>
        <w:t xml:space="preserve">in</w:t>
      </w:r>
      <w:r>
        <w:t xml:space="preserve"> </w:t>
      </w:r>
      <w:r>
        <w:rPr>
          <w:bCs/>
          <w:b/>
        </w:rPr>
        <w:t xml:space="preserve">China Shanghai</w:t>
      </w:r>
      <w:r>
        <w:t xml:space="preserve">, illustrates a broader global trend toward financial hybridity. The role is not disappearing; it is maturing. The future belongs to the banker who can seamlessly integrate digital efficiency with human empathy and regulatory vigilance.</w:t>
      </w:r>
    </w:p>
    <w:p>
      <w:pPr>
        <w:pStyle w:val="BodyText"/>
      </w:pPr>
      <w:r>
        <w:t xml:space="preserve">For stakeholders in</w:t>
      </w:r>
      <w:r>
        <w:t xml:space="preserve"> </w:t>
      </w:r>
      <w:r>
        <w:rPr>
          <w:bCs/>
          <w:b/>
        </w:rPr>
        <w:t xml:space="preserve">China Shanghai</w:t>
      </w:r>
      <w:r>
        <w:t xml:space="preserve">, the investment in banking technology must be matched by an equal investment in human capital development. As Shanghai continues to position itself as a global financial center, its bankers will serve as critical intermediaries between local enterprises and global capital markets. The successful banker of tomorrow will be less of a transaction processor and more of a holistic financial architect, leveraging the power of</w:t>
      </w:r>
      <w:r>
        <w:t xml:space="preserve"> </w:t>
      </w:r>
      <w:r>
        <w:rPr>
          <w:bCs/>
          <w:b/>
        </w:rPr>
        <w:t xml:space="preserve">China Shanghai</w:t>
      </w:r>
      <w:r>
        <w:rPr>
          <w:iCs/>
          <w:i/>
        </w:rPr>
        <w:t xml:space="preserve">,</w:t>
      </w:r>
      <w:r>
        <w:br/>
      </w:r>
      <w:r>
        <w:t xml:space="preserve">to drive sustainable growth.</w:t>
      </w:r>
    </w:p>
    <w:p>
      <w:pPr>
        <w:pStyle w:val="BodyText"/>
      </w:pPr>
      <w:r>
        <w:t xml:space="preserve">This case study confirms that while technology is the tool, the human element remains the heart. The evolution of the banker in this dynamic region underscores that even in an era of algorithms, trust, expertise, and localized knowledge are irreplaceable assets.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Banker in China Shanghai</dc:title>
  <dc:creator/>
  <dc:language>en</dc:language>
  <cp:keywords/>
  <dcterms:created xsi:type="dcterms:W3CDTF">2026-07-29T09:13:13Z</dcterms:created>
  <dcterms:modified xsi:type="dcterms:W3CDTF">2026-07-29T09:13:13Z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