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Transformation</w:t>
      </w:r>
      <w:r>
        <w:t xml:space="preserve"> </w:t>
      </w:r>
      <w:r>
        <w:t xml:space="preserve">in</w:t>
      </w:r>
      <w:r>
        <w:t xml:space="preserve"> </w:t>
      </w:r>
      <w:r>
        <w:t xml:space="preserve">Germany</w:t>
      </w:r>
      <w:r>
        <w:t xml:space="preserve"> </w:t>
      </w:r>
      <w:r>
        <w:t xml:space="preserve">Frankfurt</w:t>
      </w:r>
    </w:p>
    <w:bookmarkStart w:id="29" w:name="X5b12fbfccee714e91d614e1369bbae794446fb7"/>
    <w:p>
      <w:pPr>
        <w:pStyle w:val="Heading1"/>
      </w:pPr>
      <w:r>
        <w:t xml:space="preserve">The Modern</w:t>
      </w:r>
      <w:r>
        <w:t xml:space="preserve"> </w:t>
      </w:r>
      <w:r>
        <w:t xml:space="preserve">Banker</w:t>
      </w:r>
      <w:r>
        <w:t xml:space="preserve">: A Strategic Case Study in the Heart of Europe</w:t>
      </w:r>
    </w:p>
    <w:bookmarkStart w:id="20" w:name="executive-summary"/>
    <w:p>
      <w:pPr>
        <w:pStyle w:val="Heading2"/>
      </w:pPr>
      <w:r>
        <w:t xml:space="preserve">Executive Summary</w:t>
      </w:r>
    </w:p>
    <w:p>
      <w:pPr>
        <w:pStyle w:val="FirstParagraph"/>
      </w:pPr>
      <w:r>
        <w:t xml:space="preserve">This case study examines the evolving role of the professional</w:t>
      </w:r>
      <w:r>
        <w:t xml:space="preserve"> </w:t>
      </w:r>
      <w:r>
        <w:rPr>
          <w:bCs/>
          <w:b/>
        </w:rPr>
        <w:t xml:space="preserve">Banker</w:t>
      </w:r>
      <w:r>
        <w:t xml:space="preserve"> </w:t>
      </w:r>
      <w:r>
        <w:t xml:space="preserve">within one of the world’s most critical financial hubs. By focusing on a hypothetical yet representative scenario involving "Hanseatic Capital Partners," a mid-sized investment firm, this document explores how traditional banking practices are being reshaped by digital innovation, regulatory complexity, and shifting client expectations. The primary focus is anchored in</w:t>
      </w:r>
      <w:r>
        <w:t xml:space="preserve"> </w:t>
      </w:r>
      <w:r>
        <w:rPr>
          <w:bCs/>
          <w:b/>
        </w:rPr>
        <w:t xml:space="preserve">Germany Frankfurt</w:t>
      </w:r>
      <w:r>
        <w:t xml:space="preserve">, the undisputed financial capital of the European Union. This analysis highlights why</w:t>
      </w:r>
      <w:r>
        <w:t xml:space="preserve"> </w:t>
      </w:r>
      <w:r>
        <w:rPr>
          <w:bCs/>
          <w:b/>
        </w:rPr>
        <w:t xml:space="preserve">Germany Frankfurt</w:t>
      </w:r>
      <w:r>
        <w:t xml:space="preserve"> </w:t>
      </w:r>
      <w:r>
        <w:t xml:space="preserve">serves as the ideal laboratory for understanding modern finance, where centuries-old banking traditions collide with cutting-edge fintech advancements.</w:t>
      </w:r>
    </w:p>
    <w:bookmarkEnd w:id="20"/>
    <w:bookmarkStart w:id="21" w:name="the-context-why-germany-frankfurt"/>
    <w:p>
      <w:pPr>
        <w:pStyle w:val="Heading2"/>
      </w:pPr>
      <w:r>
        <w:t xml:space="preserve">The Context: Why Germany Frankfurt?</w:t>
      </w:r>
    </w:p>
    <w:p>
      <w:pPr>
        <w:pStyle w:val="FirstParagraph"/>
      </w:pPr>
      <w:r>
        <w:t xml:space="preserve">To understand the contemporary position of any</w:t>
      </w:r>
      <w:r>
        <w:t xml:space="preserve"> </w:t>
      </w:r>
      <w:r>
        <w:rPr>
          <w:bCs/>
          <w:b/>
        </w:rPr>
        <w:t xml:space="preserve">Banker</w:t>
      </w:r>
      <w:r>
        <w:t xml:space="preserve">, one must first appreciate the unique environment in which they operate.</w:t>
      </w:r>
      <w:r>
        <w:t xml:space="preserve"> </w:t>
      </w:r>
      <w:r>
        <w:rPr>
          <w:bCs/>
          <w:b/>
        </w:rPr>
        <w:t xml:space="preserve">Germany Frankfurt</w:t>
      </w:r>
      <w:r>
        <w:t xml:space="preserve"> </w:t>
      </w:r>
      <w:r>
        <w:t xml:space="preserve">is not merely a city; it is a global node of liquidity and capital. Home to the European Central Bank (ECB), the Deutsche Bundesbank, and major domestic players like Deutsche Bank and Commerzbank, the ecosystem here sets global standards for compliance, risk management, and stability.</w:t>
      </w:r>
    </w:p>
    <w:p>
      <w:pPr>
        <w:pStyle w:val="BodyText"/>
      </w:pPr>
      <w:r>
        <w:t xml:space="preserve">In</w:t>
      </w:r>
      <w:r>
        <w:t xml:space="preserve"> </w:t>
      </w:r>
      <w:r>
        <w:rPr>
          <w:bCs/>
          <w:b/>
        </w:rPr>
        <w:t xml:space="preserve">Germany Frankfurt</w:t>
      </w:r>
      <w:r>
        <w:t xml:space="preserve">, a</w:t>
      </w:r>
    </w:p>
    <w:p>
      <w:pPr>
        <w:pStyle w:val="BodyText"/>
      </w:pPr>
      <w:r>
        <w:t xml:space="preserve">Banker</w:t>
      </w:r>
      <w:r>
        <w:t xml:space="preserve"> </w:t>
      </w:r>
      <w:r>
        <w:t xml:space="preserve">cannot afford to be complacent. The density of financial institutions creates intense competition, forcing professionals to differentiate themselves not just through capital access, but through specialized knowledge and technological prowess. Furthermore, as the guardian of the Eurozone’s monetary policy from its headquarters in</w:t>
      </w:r>
      <w:r>
        <w:t xml:space="preserve"> </w:t>
      </w:r>
      <w:r>
        <w:rPr>
          <w:bCs/>
          <w:b/>
        </w:rPr>
        <w:t xml:space="preserve">Germany Frankfurt</w:t>
      </w:r>
      <w:r>
        <w:t xml:space="preserve">, this city carries a weight of responsibility that influences every transaction executed by every</w:t>
      </w:r>
      <w:r>
        <w:t xml:space="preserve"> </w:t>
      </w:r>
      <w:r>
        <w:rPr>
          <w:bCs/>
          <w:b/>
        </w:rPr>
        <w:t xml:space="preserve">Banker</w:t>
      </w:r>
      <w:r>
        <w:t xml:space="preserve"> </w:t>
      </w:r>
      <w:r>
        <w:t xml:space="preserve">within its borders. The regulatory scrutiny here is among the highest in the world, meaning that integrity and precision are not just virtues but survival mechanisms.</w:t>
      </w:r>
    </w:p>
    <w:bookmarkEnd w:id="21"/>
    <w:bookmarkStart w:id="22" w:name="X1659236234657e3db4bc7fc8b6d33901a20d280"/>
    <w:p>
      <w:pPr>
        <w:pStyle w:val="Heading2"/>
      </w:pPr>
      <w:r>
        <w:t xml:space="preserve">The Challenge: Digital Disruption vs. Traditional Trust</w:t>
      </w:r>
    </w:p>
    <w:p>
      <w:pPr>
        <w:pStyle w:val="FirstParagraph"/>
      </w:pPr>
      <w:r>
        <w:t xml:space="preserve">Hanseatic Capital Partners, located in the Sachsenhausen district of</w:t>
      </w:r>
      <w:r>
        <w:t xml:space="preserve"> </w:t>
      </w:r>
      <w:r>
        <w:rPr>
          <w:bCs/>
          <w:b/>
        </w:rPr>
        <w:t xml:space="preserve">Germany Frankfurt</w:t>
      </w:r>
      <w:r>
        <w:t xml:space="preserve">, faced a critical juncture. For decades, their revenue model relied on high-net-worth individuals seeking personal wealth management services. However, the demographic landscape was shifting. Younger investors demanded transparency, lower fees, and digital-first experiences—features traditionally associated with fintech startups rather than traditional banks.</w:t>
      </w:r>
    </w:p>
    <w:p>
      <w:pPr>
        <w:pStyle w:val="BodyText"/>
      </w:pPr>
      <w:r>
        <w:t xml:space="preserve">The core challenge for the senior</w:t>
      </w:r>
      <w:r>
        <w:t xml:space="preserve"> </w:t>
      </w:r>
      <w:r>
        <w:rPr>
          <w:bCs/>
          <w:b/>
        </w:rPr>
        <w:t xml:space="preserve">Banker</w:t>
      </w:r>
      <w:r>
        <w:t xml:space="preserve"> </w:t>
      </w:r>
      <w:r>
        <w:t xml:space="preserve">team was to integrate these digital demands without eroding the deep-seated trust that their brand was built upon. In</w:t>
      </w:r>
      <w:r>
        <w:t xml:space="preserve"> </w:t>
      </w:r>
      <w:r>
        <w:rPr>
          <w:bCs/>
          <w:b/>
        </w:rPr>
        <w:t xml:space="preserve">Germany Frankfurt</w:t>
      </w:r>
      <w:r>
        <w:t xml:space="preserve">, where privacy and security are culturally paramount, customers were skeptical of purely digital solutions. The</w:t>
      </w:r>
      <w:r>
        <w:t xml:space="preserve"> </w:t>
      </w:r>
      <w:r>
        <w:rPr>
          <w:bCs/>
          <w:b/>
        </w:rPr>
        <w:t xml:space="preserve">Banker</w:t>
      </w:r>
      <w:r>
        <w:t xml:space="preserve"> </w:t>
      </w:r>
      <w:r>
        <w:t xml:space="preserve">had to bridge this gap. They needed to prove that technology could enhance, not replace, the human element of financial advice.</w:t>
      </w:r>
    </w:p>
    <w:p>
      <w:pPr>
        <w:pStyle w:val="BodyText"/>
      </w:pPr>
      <w:r>
        <w:t xml:space="preserve">Additionally, the regulatory environment in</w:t>
      </w:r>
      <w:r>
        <w:t xml:space="preserve"> </w:t>
      </w:r>
      <w:r>
        <w:rPr>
          <w:bCs/>
          <w:b/>
        </w:rPr>
        <w:t xml:space="preserve">Germany Frankfurt</w:t>
      </w:r>
      <w:r>
        <w:t xml:space="preserve"> </w:t>
      </w:r>
      <w:r>
        <w:t xml:space="preserve">had become increasingly stringent regarding Anti-Money Laundering (AML) and Know Your Customer (KYC) protocols. The legacy systems used by the firm were unable to handle the data volume required for real-time compliance checks, putting both</w:t>
      </w:r>
      <w:r>
        <w:t xml:space="preserve"> </w:t>
      </w:r>
      <w:r>
        <w:rPr>
          <w:bCs/>
          <w:b/>
        </w:rPr>
        <w:t xml:space="preserve">Banker</w:t>
      </w:r>
      <w:r>
        <w:t xml:space="preserve"> </w:t>
      </w:r>
      <w:r>
        <w:t xml:space="preserve">efficiency and client onboarding times at risk.</w:t>
      </w:r>
    </w:p>
    <w:bookmarkEnd w:id="22"/>
    <w:bookmarkStart w:id="26" w:name="X49c4b80072c88839e9a3a8e804cf9cf66f2d7f6"/>
    <w:p>
      <w:pPr>
        <w:pStyle w:val="Heading2"/>
      </w:pPr>
      <w:r>
        <w:t xml:space="preserve">The Strategy: The Hybrid Model of Excellence</w:t>
      </w:r>
    </w:p>
    <w:p>
      <w:pPr>
        <w:pStyle w:val="FirstParagraph"/>
      </w:pPr>
      <w:r>
        <w:t xml:space="preserve">To address these challenges, the executive team devised a strategy centered on the concept of "Phygital" Banking—a hybrid approach combining physical presence with digital efficiency. The transformation required every</w:t>
      </w:r>
      <w:r>
        <w:t xml:space="preserve"> </w:t>
      </w:r>
      <w:r>
        <w:rPr>
          <w:bCs/>
          <w:b/>
        </w:rPr>
        <w:t xml:space="preserve">Banker</w:t>
      </w:r>
      <w:r>
        <w:t xml:space="preserve"> </w:t>
      </w:r>
      <w:r>
        <w:t xml:space="preserve">to upskill significantly.</w:t>
      </w:r>
    </w:p>
    <w:bookmarkStart w:id="23" w:name="technology-integration-for-compliance"/>
    <w:p>
      <w:pPr>
        <w:pStyle w:val="Heading3"/>
      </w:pPr>
      <w:r>
        <w:t xml:space="preserve">1. Technology Integration for Compliance</w:t>
      </w:r>
    </w:p>
    <w:p>
      <w:pPr>
        <w:pStyle w:val="FirstParagraph"/>
      </w:pPr>
      <w:r>
        <w:t xml:space="preserve">The firm invested in AI-driven compliance software tailored to meet the specific regulatory frameworks enforced by the BaFin (Federal Financial Supervisory Authority) in</w:t>
      </w:r>
      <w:r>
        <w:t xml:space="preserve"> </w:t>
      </w:r>
      <w:r>
        <w:rPr>
          <w:bCs/>
          <w:b/>
        </w:rPr>
        <w:t xml:space="preserve">Germany Frankfurt</w:t>
      </w:r>
      <w:r>
        <w:t xml:space="preserve">. This allowed junior</w:t>
      </w:r>
      <w:r>
        <w:t xml:space="preserve"> </w:t>
      </w:r>
      <w:r>
        <w:rPr>
          <w:bCs/>
          <w:b/>
        </w:rPr>
        <w:t xml:space="preserve">Banker</w:t>
      </w:r>
      <w:r>
        <w:t xml:space="preserve"> </w:t>
      </w:r>
      <w:r>
        <w:t xml:space="preserve">staff to automate routine checks, reducing errors and freeing up senior relationships managers to focus on complex advisory roles. The result was a 40% reduction in onboarding time while maintaining strict adherence to local laws.</w:t>
      </w:r>
    </w:p>
    <w:bookmarkEnd w:id="23"/>
    <w:bookmarkStart w:id="24" w:name="redefining-the-role-of-the-banker"/>
    <w:p>
      <w:pPr>
        <w:pStyle w:val="Heading3"/>
      </w:pPr>
      <w:r>
        <w:t xml:space="preserve">2. Redefining the Role of the Banker</w:t>
      </w:r>
    </w:p>
    <w:p>
      <w:pPr>
        <w:pStyle w:val="FirstParagraph"/>
      </w:pPr>
      <w:r>
        <w:t xml:space="preserve">In this new model, the</w:t>
      </w:r>
      <w:r>
        <w:t xml:space="preserve"> </w:t>
      </w:r>
      <w:r>
        <w:rPr>
          <w:bCs/>
          <w:b/>
        </w:rPr>
        <w:t xml:space="preserve">Banker</w:t>
      </w:r>
      <w:r>
        <w:t xml:space="preserve"> </w:t>
      </w:r>
      <w:r>
        <w:t xml:space="preserve">was no longer seen merely as a transaction processor. Instead, they became "Financial Architects." Training programs focused on emotional intelligence, behavioral finance, and cross-asset expertise. In</w:t>
      </w:r>
      <w:r>
        <w:t xml:space="preserve"> </w:t>
      </w:r>
      <w:r>
        <w:rPr>
          <w:bCs/>
          <w:b/>
        </w:rPr>
        <w:t xml:space="preserve">Germany Frankfurt</w:t>
      </w:r>
      <w:r>
        <w:t xml:space="preserve">, where clients value long-term stability over short-term speculation, this shift was crucial. The</w:t>
      </w:r>
      <w:r>
        <w:t xml:space="preserve"> </w:t>
      </w:r>
      <w:r>
        <w:rPr>
          <w:bCs/>
          <w:b/>
        </w:rPr>
        <w:t xml:space="preserve">Banker</w:t>
      </w:r>
      <w:r>
        <w:t xml:space="preserve"> </w:t>
      </w:r>
      <w:r>
        <w:t xml:space="preserve">became a counselor rather than a salesman.</w:t>
      </w:r>
    </w:p>
    <w:bookmarkEnd w:id="24"/>
    <w:bookmarkStart w:id="25" w:name="leveraging-the-frankfurt-ecosystem"/>
    <w:p>
      <w:pPr>
        <w:pStyle w:val="Heading3"/>
      </w:pPr>
      <w:r>
        <w:t xml:space="preserve">3. Leveraging the Frankfurt Ecosystem</w:t>
      </w:r>
    </w:p>
    <w:p>
      <w:pPr>
        <w:pStyle w:val="FirstParagraph"/>
      </w:pPr>
      <w:r>
        <w:t xml:space="preserve">The firm actively partnered with local fintech accelerators in</w:t>
      </w:r>
      <w:r>
        <w:t xml:space="preserve"> </w:t>
      </w:r>
      <w:r>
        <w:rPr>
          <w:bCs/>
          <w:b/>
        </w:rPr>
        <w:t xml:space="preserve">Germany Frankfurt</w:t>
      </w:r>
      <w:r>
        <w:t xml:space="preserve">. By collaborating with startups, the</w:t>
      </w:r>
      <w:r>
        <w:t xml:space="preserve"> </w:t>
      </w:r>
      <w:r>
        <w:rPr>
          <w:bCs/>
          <w:b/>
        </w:rPr>
        <w:t xml:space="preserve">Banker</w:t>
      </w:r>
      <w:r>
        <w:t xml:space="preserve"> </w:t>
      </w:r>
      <w:r>
        <w:t xml:space="preserve">team gained early access to innovative tools for blockchain-based settlements and robo-advisory platforms. This partnership ensured that Hanseatic Capital remained competitive against larger global banks headquartered in the same city.</w:t>
      </w:r>
    </w:p>
    <w:bookmarkEnd w:id="25"/>
    <w:bookmarkEnd w:id="26"/>
    <w:bookmarkStart w:id="27" w:name="the-outcome-measurable-success"/>
    <w:p>
      <w:pPr>
        <w:pStyle w:val="Heading2"/>
      </w:pPr>
      <w:r>
        <w:t xml:space="preserve">The Outcome: Measurable Success</w:t>
      </w:r>
    </w:p>
    <w:p>
      <w:pPr>
        <w:pStyle w:val="FirstParagraph"/>
      </w:pPr>
      <w:r>
        <w:t xml:space="preserve">Within eighteen months, the transformation yielded significant results. Client retention rates increased by 15%, driven by a higher satisfaction score regarding service responsiveness and digital accessibility. More importantly, the firm attracted a new demographic of clients who valued the security of traditional banking in</w:t>
      </w:r>
      <w:r>
        <w:t xml:space="preserve"> </w:t>
      </w:r>
      <w:r>
        <w:rPr>
          <w:bCs/>
          <w:b/>
        </w:rPr>
        <w:t xml:space="preserve">Germany Frankfurt</w:t>
      </w:r>
      <w:r>
        <w:t xml:space="preserve"> </w:t>
      </w:r>
      <w:r>
        <w:t xml:space="preserve">combined with modern digital convenience.</w:t>
      </w:r>
    </w:p>
    <w:p>
      <w:pPr>
        <w:pStyle w:val="BodyText"/>
      </w:pPr>
      <w:r>
        <w:t xml:space="preserve">The role of the</w:t>
      </w:r>
      <w:r>
        <w:t xml:space="preserve"> </w:t>
      </w:r>
      <w:r>
        <w:rPr>
          <w:bCs/>
          <w:b/>
        </w:rPr>
        <w:t xml:space="preserve">Banker</w:t>
      </w:r>
      <w:r>
        <w:t xml:space="preserve"> </w:t>
      </w:r>
      <w:r>
        <w:t xml:space="preserve">evolved dramatically. Job satisfaction among staff improved as routine tasks were automated, allowing them to engage in more intellectually stimulating work. The firm reported a 25% increase in assets under management (AUM), signaling that the market trusted their new hybrid approach.</w:t>
      </w:r>
    </w:p>
    <w:p>
      <w:pPr>
        <w:pStyle w:val="BodyText"/>
      </w:pPr>
      <w:r>
        <w:t xml:space="preserve">This case demonstrates that the modern</w:t>
      </w:r>
      <w:r>
        <w:t xml:space="preserve"> </w:t>
      </w:r>
      <w:r>
        <w:rPr>
          <w:bCs/>
          <w:b/>
        </w:rPr>
        <w:t xml:space="preserve">Banker</w:t>
      </w:r>
      <w:r>
        <w:t xml:space="preserve"> </w:t>
      </w:r>
      <w:r>
        <w:t xml:space="preserve">is not obsolete but rather transformed. The environment of</w:t>
      </w:r>
      <w:r>
        <w:t xml:space="preserve"> </w:t>
      </w:r>
      <w:r>
        <w:rPr>
          <w:bCs/>
          <w:b/>
        </w:rPr>
        <w:t xml:space="preserve">Germany Frankfurt</w:t>
      </w:r>
      <w:r>
        <w:t xml:space="preserve">, with its unique blend of regulatory rigor and international connectivity, demands this level of adaptability.</w:t>
      </w:r>
    </w:p>
    <w:bookmarkEnd w:id="27"/>
    <w:bookmarkStart w:id="28" w:name="conclusion-and-lessons-learned"/>
    <w:p>
      <w:pPr>
        <w:pStyle w:val="Heading2"/>
      </w:pPr>
      <w:r>
        <w:t xml:space="preserve">Conclusion and Lessons Learned</w:t>
      </w:r>
    </w:p>
    <w:p>
      <w:pPr>
        <w:pStyle w:val="FirstParagraph"/>
      </w:pPr>
      <w:r>
        <w:t xml:space="preserve">The case of Hanseatic Capital Partners illustrates the critical importance for every</w:t>
      </w:r>
      <w:r>
        <w:t xml:space="preserve"> </w:t>
      </w:r>
      <w:r>
        <w:rPr>
          <w:bCs/>
          <w:b/>
        </w:rPr>
        <w:t xml:space="preserve">Banker</w:t>
      </w:r>
      <w:r>
        <w:t xml:space="preserve"> </w:t>
      </w:r>
      <w:r>
        <w:t xml:space="preserve">to embrace continuous evolution. In</w:t>
      </w:r>
      <w:r>
        <w:t xml:space="preserve"> </w:t>
      </w:r>
      <w:r>
        <w:rPr>
          <w:bCs/>
          <w:b/>
        </w:rPr>
        <w:t xml:space="preserve">Germany Frankfurt</w:t>
      </w:r>
      <w:r>
        <w:t xml:space="preserve">, the stakes are high, but so are the opportunities. The lessons learned here extend beyond this single firm.</w:t>
      </w:r>
    </w:p>
    <w:p>
      <w:pPr>
        <w:pStyle w:val="BodyText"/>
      </w:pPr>
      <w:r>
        <w:t xml:space="preserve">First, technology should be viewed as an enabler of human expertise, not a replacement for it. A</w:t>
      </w:r>
      <w:r>
        <w:t xml:space="preserve"> </w:t>
      </w:r>
      <w:r>
        <w:rPr>
          <w:bCs/>
          <w:b/>
        </w:rPr>
        <w:t xml:space="preserve">Banker</w:t>
      </w:r>
      <w:r>
        <w:t xml:space="preserve">’s greatest asset remains their ability to build trust and provide nuanced advice. Second, staying compliant with local regulations in hubs like</w:t>
      </w:r>
      <w:r>
        <w:t xml:space="preserve"> </w:t>
      </w:r>
      <w:r>
        <w:rPr>
          <w:bCs/>
          <w:b/>
        </w:rPr>
        <w:t xml:space="preserve">Germany Frankfurt</w:t>
      </w:r>
      <w:r>
        <w:t xml:space="preserve"> </w:t>
      </w:r>
      <w:r>
        <w:t xml:space="preserve">requires proactive investment in infrastructure. Finally, collaboration within the financial ecosystem is key to innovation.</w:t>
      </w:r>
    </w:p>
    <w:p>
      <w:pPr>
        <w:pStyle w:val="BodyText"/>
      </w:pPr>
      <w:r>
        <w:t xml:space="preserve">For aspiring and current professionals in the field, this case study serves as a roadmap. The future of banking belongs to those who can navigate the complexities of</w:t>
      </w:r>
      <w:r>
        <w:t xml:space="preserve"> </w:t>
      </w:r>
      <w:r>
        <w:rPr>
          <w:bCs/>
          <w:b/>
        </w:rPr>
        <w:t xml:space="preserve">Germany Frankfurt</w:t>
      </w:r>
      <w:r>
        <w:t xml:space="preserve">’s regulatory landscape while delivering seamless digital experiences. The modern</w:t>
      </w:r>
      <w:r>
        <w:t xml:space="preserve"> </w:t>
      </w:r>
      <w:r>
        <w:rPr>
          <w:bCs/>
          <w:b/>
        </w:rPr>
        <w:t xml:space="preserve">Banker</w:t>
      </w:r>
      <w:r>
        <w:t xml:space="preserve"> </w:t>
      </w:r>
      <w:r>
        <w:t xml:space="preserve">must be a technologist, a compliance officer, and a trusted advisor all at once. Only by integrating these identities can one thrive in the dynamic heart of European finance.</w:t>
      </w:r>
    </w:p>
    <w:p>
      <w:pPr>
        <w:pStyle w:val="BodyText"/>
      </w:pPr>
      <w:r>
        <w:t xml:space="preserve">In summary, the synergy between traditional banking values and modern technological demands defines the success of any</w:t>
      </w:r>
      <w:r>
        <w:t xml:space="preserve"> </w:t>
      </w:r>
      <w:r>
        <w:rPr>
          <w:bCs/>
          <w:b/>
        </w:rPr>
        <w:t xml:space="preserve">Banker</w:t>
      </w:r>
      <w:r>
        <w:t xml:space="preserve"> </w:t>
      </w:r>
      <w:r>
        <w:t xml:space="preserve">operating in</w:t>
      </w:r>
      <w:r>
        <w:t xml:space="preserve"> </w:t>
      </w:r>
      <w:r>
        <w:rPr>
          <w:bCs/>
          <w:b/>
        </w:rPr>
        <w:t xml:space="preserve">Germany Frankfurt</w:t>
      </w:r>
      <w:r>
        <w:t xml:space="preserve">. This case study confirms that adaptability is the currency of the future, and understanding the local context is the foundation of global success.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Transformation in Germany Frankfurt</dc:title>
  <dc:creator/>
  <dc:language>en</dc:language>
  <cp:keywords/>
  <dcterms:created xsi:type="dcterms:W3CDTF">2026-07-29T17:39:24Z</dcterms:created>
  <dcterms:modified xsi:type="dcterms:W3CDTF">2026-07-29T17:39:24Z</dcterms:modified>
</cp:coreProperties>
</file>

<file path=docProps/custom.xml><?xml version="1.0" encoding="utf-8"?>
<Properties xmlns="http://schemas.openxmlformats.org/officeDocument/2006/custom-properties" xmlns:vt="http://schemas.openxmlformats.org/officeDocument/2006/docPropsVTypes"/>
</file>