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Germany</w:t>
      </w:r>
      <w:r>
        <w:t xml:space="preserve"> </w:t>
      </w:r>
      <w:r>
        <w:t xml:space="preserve">Munich</w:t>
      </w:r>
    </w:p>
    <w:bookmarkStart w:id="28" w:name="X04495ac61c108c434580e40739554918b24667f"/>
    <w:p>
      <w:pPr>
        <w:pStyle w:val="Heading1"/>
      </w:pPr>
      <w:r>
        <w:t xml:space="preserve">The Strategic Evolution of the Banker in Germany Munich</w:t>
      </w:r>
    </w:p>
    <w:p>
      <w:pPr>
        <w:pStyle w:val="FirstParagraph"/>
      </w:pPr>
      <w:r>
        <w:rPr>
          <w:iCs/>
          <w:i/>
          <w:bCs/>
          <w:b/>
        </w:rPr>
        <w:t xml:space="preserve">Executive Summary:</w:t>
      </w:r>
      <w:r>
        <w:br/>
      </w:r>
      <w:r>
        <w:t xml:space="preserve">This Case Study analyzes the transformative role of the contemporary Banker within Germany Munich. It explores how traditional banking values are being reconciled with rapid technological disruption, regulatory changes under the European Union framework, and shifting client expectations in one of Europe's most vibrant economic hubs. The document highlights that success for a Banker today requires a hybrid skill set combining financial acumen, digital fluency, and deep cultural understanding of the Bavarian business environment.</w:t>
      </w:r>
    </w:p>
    <w:p>
      <w:pPr>
        <w:pStyle w:val="BodyText"/>
      </w:pPr>
      <w:r>
        <w:t xml:space="preserve">In the heart of Central Europe lies Germany Munich, a city renowned not only for its rich history and cultural heritage but also as a powerhouse of innovation and economic stability. For decades, this metropolis has served as the financial anchor for Southern Germany, hosting headquarters of major insurance firms, automotive giants like BMW and Audi in their metropolitan influence sphere, and a growing fintech ecosystem. Against this backdrop, the traditional role of the Banker is undergoing a profound metamorphosis.</w:t>
      </w:r>
    </w:p>
    <w:bookmarkStart w:id="21" w:name="Xe974af73993e69d78ec6dc4aba6eab7fb9f40c9"/>
    <w:p>
      <w:pPr>
        <w:pStyle w:val="Heading2"/>
      </w:pPr>
      <w:r>
        <w:t xml:space="preserve">Contextualizing the Market in Germany Munich</w:t>
      </w:r>
    </w:p>
    <w:p>
      <w:pPr>
        <w:pStyle w:val="FirstParagraph"/>
      </w:pPr>
      <w:r>
        <w:t xml:space="preserve">To understand the challenges facing today's financial professionals, one must first appreciate the unique landscape of Germany Munich. The city boasts some of Europe’s lowest unemployment rates and a robust middle class with high savings ratios. However, this stability is currently being challenged by two converging forces: aggressive digitalization from global tech giants and stringent regulatory pressures stemming from Brussels.</w:t>
      </w:r>
    </w:p>
    <w:p>
      <w:pPr>
        <w:pStyle w:val="BodyText"/>
      </w:pPr>
      <w:r>
        <w:t xml:space="preserve">The local banking sector in Germany Munich has historically been dominated by a triad of institutions: the large private commercial banks, cooperative banks (Volksbanken Raiffeisenbanken), and savings banks (Sparkassen). Each plays a vital role in the region's economy. However, clients no longer visit branches solely for transactions. Instead, they seek advisory services that bridge the gap between traditional wealth preservation and modern digital asset management.</w:t>
      </w:r>
    </w:p>
    <w:bookmarkStart w:id="20" w:name="the-shift-in-client-expectations"/>
    <w:p>
      <w:pPr>
        <w:pStyle w:val="Heading3"/>
      </w:pPr>
      <w:r>
        <w:t xml:space="preserve">The Shift in Client Expectations</w:t>
      </w:r>
    </w:p>
    <w:p>
      <w:pPr>
        <w:pStyle w:val="FirstParagraph"/>
      </w:pPr>
      <w:r>
        <w:t xml:space="preserve">In Germany Munich, trust is paramount. Clients value discretion and long-term relationships over quick returns. Yet, a paradox exists: while clients demand the personal touch associated with traditional banking, they simultaneously expect the seamless user experience provided by digital-only neobanks. This dichotomy forces every Banker to become a hybrid professional—part financial advisor, part tech support specialist.</w:t>
      </w:r>
    </w:p>
    <w:p>
      <w:pPr>
        <w:numPr>
          <w:ilvl w:val="0"/>
          <w:numId w:val="1001"/>
        </w:numPr>
        <w:pStyle w:val="Compact"/>
      </w:pPr>
      <w:r>
        <w:rPr>
          <w:bCs/>
          <w:b/>
        </w:rPr>
        <w:t xml:space="preserve">Digital Onboarding:</w:t>
      </w:r>
      <w:r>
        <w:t xml:space="preserve"> </w:t>
      </w:r>
      <w:r>
        <w:t xml:space="preserve">Clients in Germany Munich now expect paperless, instant account opening processes. A Banker must guide clients through digital identity verification (eID) procedures while ensuring data privacy compliance under the General Data Protection Regulation (GDPR).</w:t>
      </w:r>
    </w:p>
    <w:p>
      <w:pPr>
        <w:numPr>
          <w:ilvl w:val="0"/>
          <w:numId w:val="1001"/>
        </w:numPr>
        <w:pStyle w:val="Compact"/>
      </w:pPr>
      <w:r>
        <w:rPr>
          <w:bCs/>
          <w:b/>
        </w:rPr>
        <w:t xml:space="preserve">Sustainable Investing:</w:t>
      </w:r>
      <w:r>
        <w:t xml:space="preserve"> </w:t>
      </w:r>
      <w:r>
        <w:t xml:space="preserve">There is a burgeoning demand for green finance products in Bavaria. Clients want to know that their investments align with environmental, social, and governance (ESG) criteria. The Banker must be equipped to analyze ESG ratings and recommend portfolios that reflect these values.</w:t>
      </w:r>
    </w:p>
    <w:p>
      <w:pPr>
        <w:numPr>
          <w:ilvl w:val="0"/>
          <w:numId w:val="1001"/>
        </w:numPr>
        <w:pStyle w:val="Compact"/>
      </w:pPr>
      <w:r>
        <w:rPr>
          <w:bCs/>
          <w:b/>
        </w:rPr>
        <w:t xml:space="preserve">Cryptocurrency Awareness:</w:t>
      </w:r>
      <w:r>
        <w:t xml:space="preserve"> </w:t>
      </w:r>
      <w:r>
        <w:t xml:space="preserve">While traditionalists may resist digital currencies, a segment of the younger demographic in Germany Munich is increasingly interested in Bitcoin and Ethereum. A competent Banker cannot ignore this asset class but must navigate it within strict anti-money laundering (AML) frameworks.</w:t>
      </w:r>
    </w:p>
    <w:bookmarkEnd w:id="20"/>
    <w:bookmarkEnd w:id="21"/>
    <w:bookmarkStart w:id="23" w:name="X0c5cf04291ecc5661299cf1b139719fffff2635"/>
    <w:p>
      <w:pPr>
        <w:pStyle w:val="Heading2"/>
      </w:pPr>
      <w:r>
        <w:t xml:space="preserve">The Role of Technology for the Modern Banker</w:t>
      </w:r>
    </w:p>
    <w:p>
      <w:pPr>
        <w:pStyle w:val="FirstParagraph"/>
      </w:pPr>
      <w:r>
        <w:t xml:space="preserve">The integration of Artificial Intelligence (AI) and Big Data analytics has redefined how a Banker interacts with data. In Germany Munich, banks are leveraging AI-driven tools to predict customer needs before they arise. For instance, machine learning algorithms can analyze spending patterns to suggest optimal mortgage refinancing opportunities or identify potential cash flow issues for small business clients.</w:t>
      </w:r>
    </w:p>
    <w:p>
      <w:pPr>
        <w:pStyle w:val="BodyText"/>
      </w:pPr>
      <w:r>
        <w:t xml:space="preserve">However, technology serves as an enabler rather than a replacement. The essence of being a Banker remains human-centric advisory. In the high-stakes world of corporate finance in Germany Munich, complex cross-border mergers and acquisitions require nuanced negotiation skills that software cannot replicate. Therefore, the modern Banker must focus on high-value interactions while delegating routine tasks to automated systems.</w:t>
      </w:r>
    </w:p>
    <w:bookmarkStart w:id="22" w:name="X6e2b801533474722e55081c2386f618d13762a8"/>
    <w:p>
      <w:pPr>
        <w:pStyle w:val="Heading3"/>
      </w:pPr>
      <w:r>
        <w:t xml:space="preserve">Regulatory Compliance as a Core Competency</w:t>
      </w:r>
    </w:p>
    <w:p>
      <w:pPr>
        <w:pStyle w:val="FirstParagraph"/>
      </w:pPr>
      <w:r>
        <w:t xml:space="preserve">The regulatory environment in Germany is notoriously rigorous. For any Banker operating in Germany Munich, staying abreast of changes is not optional—it is existential. From the Basel III accords affecting capital adequacy to local implementations of the EU’s Markets in Financial Instruments Directive (MiFID II), transparency and compliance are non-negotiable.</w:t>
      </w:r>
    </w:p>
    <w:p>
      <w:pPr>
        <w:pStyle w:val="BodyText"/>
      </w:pPr>
      <w:r>
        <w:t xml:space="preserve">Mistakes in compliance can lead to severe penalties and reputational damage, which is particularly damaging in a close-knit business community like Germany Munich. Consequently, continuous education has become a cornerstone of career development for bankers. Firms are investing heavily in training programs that emphasize ethical decision-making alongside regulatory knowledge.</w:t>
      </w:r>
    </w:p>
    <w:bookmarkEnd w:id="22"/>
    <w:bookmarkEnd w:id="23"/>
    <w:bookmarkStart w:id="24" w:name="cultural-nuances-and-soft-skills"/>
    <w:p>
      <w:pPr>
        <w:pStyle w:val="Heading2"/>
      </w:pPr>
      <w:r>
        <w:t xml:space="preserve">Cultural Nuances and Soft Skills</w:t>
      </w:r>
    </w:p>
    <w:p>
      <w:pPr>
        <w:pStyle w:val="FirstParagraph"/>
      </w:pPr>
      <w:r>
        <w:t xml:space="preserve">Beyond technical skills, cultural intelligence is critical for success in this region. The business culture in Germany Munich is characterized by precision, reliability, and direct communication. Unlike the more sales-driven cultures found in some other European capitals, clients here prefer fact-based discussions.</w:t>
      </w:r>
    </w:p>
    <w:p>
      <w:pPr>
        <w:pStyle w:val="BodyText"/>
      </w:pPr>
      <w:r>
        <w:t xml:space="preserve">A Banker must demonstrate patience and thoroughness. Rushing a client into a decision is seen as unprofessional. Instead, providing detailed risk assessments and clear explanations of fee structures builds the trust necessary for long-term retention. Furthermore, understanding local traditions—such as the importance of networking during Oktoberfest or respecting holiday schedules—can significantly enhance relationship building.</w:t>
      </w:r>
    </w:p>
    <w:bookmarkEnd w:id="24"/>
    <w:bookmarkStart w:id="25" w:name="case-scenario-the-transition-challenge"/>
    <w:p>
      <w:pPr>
        <w:pStyle w:val="Heading2"/>
      </w:pPr>
      <w:r>
        <w:t xml:space="preserve">Case Scenario: The Transition Challenge</w:t>
      </w:r>
    </w:p>
    <w:p>
      <w:pPr>
        <w:pStyle w:val="FirstParagraph"/>
      </w:pPr>
      <w:r>
        <w:t xml:space="preserve">To illustrate these dynamics, consider a typical scenario involving a mid-sized industrial enterprise in Germany Munich. The company is seeking to expand its operations into Asia and requires complex hedging strategies for currency risk. Traditional advice would involve standard forward contracts. However, the modern Banker introduces a structured solution combining digital trading platforms for execution efficiency with customized options tailored to the client’s specific cash flow cycles.</w:t>
      </w:r>
    </w:p>
    <w:p>
      <w:pPr>
        <w:pStyle w:val="BodyText"/>
      </w:pPr>
      <w:r>
        <w:t xml:space="preserve">This scenario highlights several key points:</w:t>
      </w:r>
    </w:p>
    <w:p>
      <w:pPr>
        <w:numPr>
          <w:ilvl w:val="0"/>
          <w:numId w:val="1002"/>
        </w:numPr>
        <w:pStyle w:val="Compact"/>
      </w:pPr>
      <w:r>
        <w:rPr>
          <w:bCs/>
          <w:b/>
        </w:rPr>
        <w:t xml:space="preserve">Innovation:</w:t>
      </w:r>
      <w:r>
        <w:t xml:space="preserve"> </w:t>
      </w:r>
      <w:r>
        <w:t xml:space="preserve">Leveraging digital tools to provide better pricing and execution speed.</w:t>
      </w:r>
    </w:p>
    <w:p>
      <w:pPr>
        <w:numPr>
          <w:ilvl w:val="0"/>
          <w:numId w:val="1002"/>
        </w:numPr>
        <w:pStyle w:val="Compact"/>
      </w:pPr>
      <w:r>
        <w:rPr>
          <w:bCs/>
          <w:b/>
        </w:rPr>
        <w:t xml:space="preserve">Risk Management:</w:t>
      </w:r>
      <w:r>
        <w:t xml:space="preserve">A deep understanding of geopolitical risks associated with Asian markets.</w:t>
      </w:r>
    </w:p>
    <w:p>
      <w:pPr>
        <w:numPr>
          <w:ilvl w:val="0"/>
          <w:numId w:val="1002"/>
        </w:numPr>
        <w:pStyle w:val="Compact"/>
      </w:pPr>
      <w:r>
        <w:rPr>
          <w:bCs/>
          <w:b/>
        </w:rPr>
        <w:t xml:space="preserve">Counseling:</w:t>
      </w:r>
      <w:r>
        <w:t xml:space="preserve"> </w:t>
      </w:r>
      <w:r>
        <w:t xml:space="preserve">Acting as a strategic partner rather than just a transaction processor, ensuring the client understands the implications of every financial decision.</w:t>
      </w:r>
    </w:p>
    <w:bookmarkEnd w:id="25"/>
    <w:bookmarkStart w:id="26" w:name="Xedb13697a2e41996c20f28cc4e36c551d047c33"/>
    <w:p>
      <w:pPr>
        <w:pStyle w:val="Heading2"/>
      </w:pPr>
      <w:r>
        <w:t xml:space="preserve">Future Outlook and Strategic Recommendations</w:t>
      </w:r>
    </w:p>
    <w:p>
      <w:pPr>
        <w:pStyle w:val="FirstParagraph"/>
      </w:pPr>
      <w:r>
        <w:t xml:space="preserve">The future for the Banker in Germany Munich lies in adaptability. As digital-native generations become primary decision-makers, banks must continue to evolve their service models. However, the core value proposition—trust and expertise—will remain unchanged.</w:t>
      </w:r>
    </w:p>
    <w:p>
      <w:pPr>
        <w:pStyle w:val="BodyText"/>
      </w:pPr>
      <w:r>
        <w:t xml:space="preserve">We recommend that financial institutions prioritize:</w:t>
      </w:r>
    </w:p>
    <w:p>
      <w:pPr>
        <w:numPr>
          <w:ilvl w:val="0"/>
          <w:numId w:val="1003"/>
        </w:numPr>
        <w:pStyle w:val="Compact"/>
      </w:pPr>
      <w:r>
        <w:rPr>
          <w:bCs/>
          <w:b/>
        </w:rPr>
        <w:t xml:space="preserve">Hiring for Hybrid Skills:</w:t>
      </w:r>
      <w:r>
        <w:t xml:space="preserve"> </w:t>
      </w:r>
      <w:r>
        <w:t xml:space="preserve">Recruit individuals who are comfortable with both complex mathematics and interpersonal communication.</w:t>
      </w:r>
    </w:p>
    <w:p>
      <w:pPr>
        <w:numPr>
          <w:ilvl w:val="0"/>
          <w:numId w:val="1003"/>
        </w:numPr>
        <w:pStyle w:val="Compact"/>
      </w:pPr>
      <w:r>
        <w:rPr>
          <w:bCs/>
          <w:b/>
        </w:rPr>
        <w:t xml:space="preserve">Lifelong Learning Cultures:</w:t>
      </w:r>
      <w:r>
        <w:t xml:space="preserve"> </w:t>
      </w:r>
      <w:r>
        <w:t xml:space="preserve">Institute mandatory upskilling programs focused on cybersecurity, ESG standards, and digital customer journey mapping.</w:t>
      </w:r>
    </w:p>
    <w:p>
      <w:pPr>
        <w:numPr>
          <w:ilvl w:val="0"/>
          <w:numId w:val="1003"/>
        </w:numPr>
        <w:pStyle w:val="Compact"/>
      </w:pPr>
      <w:r>
        <w:rPr>
          <w:bCs/>
          <w:b/>
        </w:rPr>
        <w:t xml:space="preserve">Bridging the Generational Gap:</w:t>
      </w:r>
      <w:r>
        <w:t xml:space="preserve"> </w:t>
      </w:r>
      <w:r>
        <w:t xml:space="preserve">Create mentorship programs where experienced bankers pass down relationship-building wisdom to younger employees fluent in new technologies.</w:t>
      </w:r>
    </w:p>
    <w:bookmarkEnd w:id="26"/>
    <w:bookmarkStart w:id="27" w:name="conclusion"/>
    <w:p>
      <w:pPr>
        <w:pStyle w:val="Heading2"/>
      </w:pPr>
      <w:r>
        <w:t xml:space="preserve">Conclusion</w:t>
      </w:r>
    </w:p>
    <w:p>
      <w:pPr>
        <w:pStyle w:val="FirstParagraph"/>
      </w:pPr>
      <w:r>
        <w:t xml:space="preserve">In conclusion, the role of a Banker in Germany Munich is more complex and critical than ever. It requires navigating a dual reality: maintaining the steadfast trust associated with Bavarian financial tradition while embracing the rapid innovation of the digital age. The successful Banker is not merely a keeper of money but a navigator of change, guiding clients through an increasingly volatile global economic landscape with expertise, integrity, and foresight.</w:t>
      </w:r>
    </w:p>
    <w:p>
      <w:pPr>
        <w:pStyle w:val="BodyText"/>
      </w:pPr>
      <w:r>
        <w:t xml:space="preserve">As Germany Munich continues to solidify its position as a leading European hub for finance and technology, the professionals operating within this space must remain agile. Only those who can synthesize technological proficiency with deep human understanding will thrive in this dynamic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Germany Munich</dc:title>
  <dc:creator/>
  <dc:language>en</dc:language>
  <cp:keywords/>
  <dcterms:created xsi:type="dcterms:W3CDTF">2026-07-29T02:21:49Z</dcterms:created>
  <dcterms:modified xsi:type="dcterms:W3CDTF">2026-07-29T02:21:49Z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