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Banking</w:t>
      </w:r>
      <w:r>
        <w:t xml:space="preserve"> </w:t>
      </w:r>
      <w:r>
        <w:t xml:space="preserve">in</w:t>
      </w:r>
      <w:r>
        <w:t xml:space="preserve"> </w:t>
      </w:r>
      <w:r>
        <w:t xml:space="preserve">Indonesia</w:t>
      </w:r>
      <w:r>
        <w:t xml:space="preserve"> </w:t>
      </w:r>
      <w:r>
        <w:t xml:space="preserve">Jakarta</w:t>
      </w:r>
    </w:p>
    <w:bookmarkStart w:id="30" w:name="Xb58a5d9bf821b24e44066bab5e6c85c83ffcae7"/>
    <w:p>
      <w:pPr>
        <w:pStyle w:val="Heading1"/>
      </w:pPr>
      <w:r>
        <w:t xml:space="preserve">Digital Transformation and Financial Inclusion in Indonesia Jakarta</w:t>
      </w:r>
    </w:p>
    <w:p>
      <w:pPr>
        <w:pStyle w:val="FirstParagraph"/>
      </w:pPr>
      <w:r>
        <w:t xml:space="preserve">This case study examines the rapid transformation of the banking sector within Indonesia Jakarta, focusing on how modernization efforts have reshaped consumer behavior, regulatory frameworks, and competitive dynamics. As the capital city serves as the economic heartbeat of Indonesia Jakarta, it provides a unique microcosm for understanding broader national trends in fintech adoption and traditional banking resilience.</w:t>
      </w:r>
    </w:p>
    <w:bookmarkStart w:id="20" w:name="X9e50fb1b3ab392e6d70a539f802effff9c48ed7"/>
    <w:p>
      <w:pPr>
        <w:pStyle w:val="Heading2"/>
      </w:pPr>
      <w:r>
        <w:t xml:space="preserve">1. Introduction: The Context of Indonesia Jakarta</w:t>
      </w:r>
    </w:p>
    <w:p>
      <w:pPr>
        <w:pStyle w:val="FirstParagraph"/>
      </w:pPr>
      <w:r>
        <w:t xml:space="preserve">Jakarta, often referred to simply as the capital city in global financial discussions regarding Indonesia Jakarta, is a metropolis of over ten million residents within its administrative boundaries and more than thirty million in the greater metropolitan area. This dense population creates a high-velocity demand for financial services. However, historically, the traditional banking infrastructure struggled to keep pace with the explosive growth of digital connectivity among young demographics.</w:t>
      </w:r>
    </w:p>
    <w:p>
      <w:pPr>
        <w:pStyle w:val="BodyText"/>
      </w:pPr>
      <w:r>
        <w:t xml:space="preserve">The narrative of modern finance in this region is not merely about brick-and-mortar branches but about the integration of mobile-first solutions into daily life. For any institution operating within Indonesia Jakarta today, understanding local consumer habits—such as the preference for cashless transactions via QRIS (Quick Response Code Indonesian Standard) and the reliance on social commerce—is paramount. The shift represents a move from a savings-based economy to a transactional, data-driven financial ecosystem.</w:t>
      </w:r>
    </w:p>
    <w:bookmarkEnd w:id="20"/>
    <w:bookmarkStart w:id="21" w:name="X3f505070968e4ec6fd6b107e02573c9d17b818c"/>
    <w:p>
      <w:pPr>
        <w:pStyle w:val="Heading2"/>
      </w:pPr>
      <w:r>
        <w:t xml:space="preserve">2. Problem Statement: Legacy Systems vs. Digital Demands</w:t>
      </w:r>
    </w:p>
    <w:p>
      <w:pPr>
        <w:pStyle w:val="FirstParagraph"/>
      </w:pPr>
      <w:r>
        <w:t xml:space="preserve">The primary challenge facing established banks in Indonesia Jakarta has been the rigidity of legacy systems. While international standards suggest robust infrastructure, many local institutions struggled with fragmented back-ends that hindered real-time processing. In a city where speed is currency, delays in fund transfers or complex account-opening procedures resulted in significant customer churn.</w:t>
      </w:r>
    </w:p>
    <w:p>
      <w:pPr>
        <w:pStyle w:val="BodyText"/>
      </w:pPr>
      <w:r>
        <w:t xml:space="preserve">Furthermore, financial inclusion remained a pressing issue. Despite Jakarta's status as the economic hub of Indonesia Jakarta, a significant portion of the micro-entrepreneurial sector and gig economy workers operated outside the formal banking system. These individuals lacked credit histories, making it difficult for traditional risk models to assess their viability as loan applicants. This gap created an opportunity for fintech startups and agile digital banks to disrupt the market by offering alternative data-based credit scoring mechanisms.</w:t>
      </w:r>
    </w:p>
    <w:bookmarkEnd w:id="21"/>
    <w:bookmarkStart w:id="24" w:name="X35bd7e40f0f05e696b90f7a14bee2b0275a15f2"/>
    <w:p>
      <w:pPr>
        <w:pStyle w:val="Heading2"/>
      </w:pPr>
      <w:r>
        <w:t xml:space="preserve">3. Strategic Response: Digital-First Initiatives</w:t>
      </w:r>
    </w:p>
    <w:p>
      <w:pPr>
        <w:pStyle w:val="FirstParagraph"/>
      </w:pPr>
      <w:r>
        <w:t xml:space="preserve">In response to these challenges, major banking institutions in Indonesia Jakarta launched comprehensive digital transformation strategies. This involved two parallel tracks: modernizing core infrastructure for existing customers and launching neo-banks targeted at the unbanked.</w:t>
      </w:r>
    </w:p>
    <w:bookmarkStart w:id="22" w:name="a.-integration-of-open-banking-apis"/>
    <w:p>
      <w:pPr>
        <w:pStyle w:val="Heading3"/>
      </w:pPr>
      <w:r>
        <w:t xml:space="preserve">A. Integration of Open Banking APIs</w:t>
      </w:r>
    </w:p>
    <w:p>
      <w:pPr>
        <w:pStyle w:val="FirstParagraph"/>
      </w:pPr>
      <w:r>
        <w:t xml:space="preserve">Banks began adopting open banking principles, allowing third-party developers to build applications and services around the financial institution. This move was crucial for integrating with popular super-apps prevalent in Indonesia Jakarta, such as Gojek and Grab. By embedding financial services directly into ride-hailing and food delivery platforms, banks increased touchpoints with consumers without requiring them to visit physical branches.</w:t>
      </w:r>
    </w:p>
    <w:bookmarkEnd w:id="22"/>
    <w:bookmarkStart w:id="23" w:name="b.-ai-driven-credit-scoring"/>
    <w:p>
      <w:pPr>
        <w:pStyle w:val="Heading3"/>
      </w:pPr>
      <w:r>
        <w:t xml:space="preserve">B. AI-Driven Credit Scoring</w:t>
      </w:r>
    </w:p>
    <w:p>
      <w:pPr>
        <w:pStyle w:val="FirstParagraph"/>
      </w:pPr>
      <w:r>
        <w:t xml:space="preserve">To address the inclusion gap, institutions deployed artificial intelligence algorithms that analyzed alternative data points—such as utility bill payments, mobile phone usage patterns, and e-commerce transaction history—to generate credit scores. This allowed banks in Indonesia Jakarta to extend micro-loans to millions of previously excluded individuals, fostering economic participation while expanding their own customer base.</w:t>
      </w:r>
    </w:p>
    <w:bookmarkEnd w:id="23"/>
    <w:bookmarkEnd w:id="24"/>
    <w:bookmarkStart w:id="25" w:name="regulatory-environment-and-compliance"/>
    <w:p>
      <w:pPr>
        <w:pStyle w:val="Heading2"/>
      </w:pPr>
      <w:r>
        <w:t xml:space="preserve">4. Regulatory Environment and Compliance</w:t>
      </w:r>
    </w:p>
    <w:p>
      <w:pPr>
        <w:pStyle w:val="FirstParagraph"/>
      </w:pPr>
      <w:r>
        <w:t xml:space="preserve">The financial landscape in Indonesia Jakarta is heavily regulated by Bank Indonesia (the central bank) and the Financial Services Authority (OJK). A critical aspect of this case study is how regulatory sandboxes have facilitated innovation. The regulators in Indonesia Jakarta recognized that stifling innovation would cause the country to fall behind regional peers like Singapore and Thailand.</w:t>
      </w:r>
    </w:p>
    <w:p>
      <w:pPr>
        <w:pStyle w:val="BodyText"/>
      </w:pPr>
      <w:r>
        <w:t xml:space="preserve">Consequently, they introduced frameworks that allowed banks to test new products with limited customer bases before full-scale rollout. This approach reduced the risk associated with digital experimentation while ensuring consumer protection standards were met. For instance, regulations surrounding digital payments and e-wallet interoperability were clarified to ensure seamless transactions across different platforms within Indonesia Jakarta.</w:t>
      </w:r>
    </w:p>
    <w:bookmarkEnd w:id="25"/>
    <w:bookmarkStart w:id="26" w:name="challenges-and-risks"/>
    <w:p>
      <w:pPr>
        <w:pStyle w:val="Heading2"/>
      </w:pPr>
      <w:r>
        <w:t xml:space="preserve">5. Challenges and Risks</w:t>
      </w:r>
    </w:p>
    <w:p>
      <w:pPr>
        <w:pStyle w:val="FirstParagraph"/>
      </w:pPr>
      <w:r>
        <w:t xml:space="preserve">Despite successes, the path has not been without obstacles. Cybersecurity remains a top concern for institutions in Indonesia Jakarta. As more sensitive financial data moves online, the threat landscape expands. High-profile data breaches in neighboring countries have heightened awareness among consumers and regulators alike.</w:t>
      </w:r>
    </w:p>
    <w:p>
      <w:pPr>
        <w:pStyle w:val="BodyText"/>
      </w:pPr>
      <w:r>
        <w:t xml:space="preserve">Additionally, the digital divide persists within Indonesia Jakarta itself. While central business districts boast high-speed internet access, peripheral areas may still suffer from connectivity issues. This geographical disparity requires banks to maintain a hybrid model—combining robust digital platforms with selective physical branches in underserved communities—to ensure equitable service delivery.</w:t>
      </w:r>
    </w:p>
    <w:bookmarkEnd w:id="26"/>
    <w:bookmarkStart w:id="27" w:name="results-and-impact"/>
    <w:p>
      <w:pPr>
        <w:pStyle w:val="Heading2"/>
      </w:pPr>
      <w:r>
        <w:t xml:space="preserve">6. Results and Impact</w:t>
      </w:r>
    </w:p>
    <w:p>
      <w:pPr>
        <w:pStyle w:val="FirstParagraph"/>
      </w:pPr>
      <w:r>
        <w:t xml:space="preserve">The results of these strategic shifts have been profound within Indonesia Jakarta. Mobile banking adoption rates have surged, with a significant percentage of daily transactions now occurring via smartphones rather than cash or cards. This shift has improved transparency in the economy, reduced the cost of transaction processing for banks, and enhanced convenience for consumers.</w:t>
      </w:r>
    </w:p>
    <w:p>
      <w:pPr>
        <w:pStyle w:val="BodyText"/>
      </w:pPr>
      <w:r>
        <w:t xml:space="preserve">Moreover, financial inclusion metrics have improved dramatically. Millions of new accounts were opened under simplified digital onboarding processes. Small and medium enterprises (SMEs) in Indonesia Jakarta have gained better access to working capital loans, stimulating local economic growth. The competitive pressure has forced even traditional players to innovate rapidly, resulting in a more dynamic and customer-centric financial sector.</w:t>
      </w:r>
    </w:p>
    <w:bookmarkEnd w:id="27"/>
    <w:bookmarkStart w:id="28" w:name="conclusion"/>
    <w:p>
      <w:pPr>
        <w:pStyle w:val="Heading2"/>
      </w:pPr>
      <w:r>
        <w:t xml:space="preserve">7. Conclusion</w:t>
      </w:r>
    </w:p>
    <w:p>
      <w:pPr>
        <w:pStyle w:val="FirstParagraph"/>
      </w:pPr>
      <w:r>
        <w:t xml:space="preserve">This case study highlights that the transformation of banking in Indonesia Jakarta is a multifaceted endeavor driven by technology, regulation, and changing consumer expectations. The success of modern banks hinges on their ability to balance innovation with security, and digital efficiency with inclusive reach.</w:t>
      </w:r>
    </w:p>
    <w:p>
      <w:pPr>
        <w:pStyle w:val="BodyText"/>
      </w:pPr>
      <w:r>
        <w:t xml:space="preserve">For stakeholders looking at the broader Indonesian market, Indonesia Jakarta serves as both a testing ground and a bellwether. The lessons learned here—regarding agile infrastructure development, alternative credit modeling, and regulatory collaboration—are applicable across other emerging markets. Ultimately, the banking sector in Indonesia Jakarta exemplifies how traditional financial institutions can reinvent themselves to remain relevant in a digital-first world.</w:t>
      </w:r>
    </w:p>
    <w:bookmarkEnd w:id="28"/>
    <w:bookmarkStart w:id="29" w:name="recommendations-for-future-development"/>
    <w:p>
      <w:pPr>
        <w:pStyle w:val="Heading2"/>
      </w:pPr>
      <w:r>
        <w:t xml:space="preserve">8. Recommendations for Future Development</w:t>
      </w:r>
    </w:p>
    <w:p>
      <w:pPr>
        <w:pStyle w:val="FirstParagraph"/>
      </w:pPr>
      <w:r>
        <w:t xml:space="preserve">To sustain momentum, banks operating in Indonesia Jakarta should continue to invest in cybersecurity infrastructure and enhance financial literacy programs among users. Collaboration between fintechs and traditional banks should be deepened to create seamless ecosystems. Furthermore, expanding services into adjacent sectors such as insurance (insurtech) and investment platforms will provide additional value propositions for customers in Indonesia Jakarta.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Banking in Indonesia Jakarta</dc:title>
  <dc:creator/>
  <dc:language>en</dc:language>
  <cp:keywords/>
  <dcterms:created xsi:type="dcterms:W3CDTF">2026-07-29T17:55:09Z</dcterms:created>
  <dcterms:modified xsi:type="dcterms:W3CDTF">2026-07-29T17:55:09Z</dcterms:modified>
</cp:coreProperties>
</file>

<file path=docProps/custom.xml><?xml version="1.0" encoding="utf-8"?>
<Properties xmlns="http://schemas.openxmlformats.org/officeDocument/2006/custom-properties" xmlns:vt="http://schemas.openxmlformats.org/officeDocument/2006/docPropsVTypes"/>
</file>