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Iraq,</w:t>
      </w:r>
      <w:r>
        <w:t xml:space="preserve"> </w:t>
      </w:r>
      <w:r>
        <w:t xml:space="preserve">Baghdad</w:t>
      </w:r>
    </w:p>
    <w:bookmarkStart w:id="27" w:name="the-modern-banker-in-iraq-baghdad"/>
    <w:p>
      <w:pPr>
        <w:pStyle w:val="Heading1"/>
      </w:pPr>
      <w:r>
        <w:t xml:space="preserve">The Modern Banker in Iraq, Baghdad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Baghdad, Republic of Iraq</w:t>
      </w:r>
      <w:r>
        <w:br/>
      </w:r>
      <w:r>
        <w:rPr>
          <w:bCs/>
          <w:b/>
        </w:rPr>
        <w:t xml:space="preserve">Subject:</w:t>
      </w:r>
    </w:p>
    <w:bookmarkStart w:id="21" w:name="Xc61213bfe3258c0ca9c094ae5bc3a35d7a3abac"/>
    <w:p>
      <w:pPr>
        <w:pStyle w:val="Heading2"/>
      </w:pPr>
      <w:bookmarkStart w:id="20" w:name="case-study-label"/>
      <w:r>
        <w:t xml:space="preserve">Case Study</w:t>
      </w:r>
      <w:bookmarkEnd w:id="20"/>
      <w:r>
        <w:t xml:space="preserve">: Introduction to the Banking Landscape in Baghdad</w:t>
      </w:r>
    </w:p>
    <w:p>
      <w:pPr>
        <w:pStyle w:val="FirstParagraph"/>
      </w:pPr>
      <w:r>
        <w:t xml:space="preserve">The financial sector of Iraq has undergone a profound transformation over the last two decades. Following years of conflict and isolation, the capital city of Baghdad has emerged as a bustling hub of economic activity and modernization. At the heart of this transformation is a new breed of professional:</w:t>
      </w:r>
      <w:r>
        <w:t xml:space="preserve"> </w:t>
      </w:r>
      <w:r>
        <w:t xml:space="preserve">the banker</w:t>
      </w:r>
      <w:r>
        <w:t xml:space="preserve">. This document serves as a comprehensive</w:t>
      </w:r>
      <w:r>
        <w:t xml:space="preserve"> </w:t>
      </w:r>
      <w:r>
        <w:t xml:space="preserve">Case Study</w:t>
      </w:r>
      <w:r>
        <w:t xml:space="preserve"> </w:t>
      </w:r>
      <w:r>
        <w:t xml:space="preserve">examining the role, challenges, and opportunities facing banking professionals operating within the specific geopolitical and economic context of</w:t>
      </w:r>
      <w:r>
        <w:t xml:space="preserve"> </w:t>
      </w:r>
      <w:r>
        <w:rPr>
          <w:bCs/>
          <w:b/>
        </w:rPr>
        <w:t xml:space="preserve">Iraq Baghdad</w:t>
      </w:r>
      <w:r>
        <w:t xml:space="preserve">.</w:t>
      </w:r>
    </w:p>
    <w:p>
      <w:pPr>
        <w:pStyle w:val="BodyText"/>
      </w:pPr>
      <w:r>
        <w:t xml:space="preserve">In recent years, the Central Bank of Iraq (CBI) has implemented aggressive reforms aimed at stabilizing the Dinar, reducing inflation, and integrating Iraqi banks into the global financial system. For a banker working in Baghdad today, this means moving beyond traditional cash-heavy operations to embrace digital banking solutions, compliance with international anti-money laundering (AML) standards, and customer-centric service models. The</w:t>
      </w:r>
      <w:r>
        <w:t xml:space="preserve"> </w:t>
      </w:r>
      <w:r>
        <w:t xml:space="preserve">Case Study</w:t>
      </w:r>
      <w:r>
        <w:t xml:space="preserve"> </w:t>
      </w:r>
      <w:r>
        <w:t xml:space="preserve">below details the operational realities for a senior banker named Ammar Al-Jubouri at a leading private commercial bank in central Baghdad.</w:t>
      </w:r>
    </w:p>
    <w:bookmarkEnd w:id="21"/>
    <w:bookmarkStart w:id="22" w:name="X17d5bbe3ec4641b2c5d0983c2cb03c1e67950f1"/>
    <w:p>
      <w:pPr>
        <w:pStyle w:val="Heading2"/>
      </w:pPr>
      <w:r>
        <w:t xml:space="preserve">The Profile of the Modern Banker in Iraq Baghdad</w:t>
      </w:r>
    </w:p>
    <w:p>
      <w:pPr>
        <w:pStyle w:val="FirstParagraph"/>
      </w:pPr>
      <w:r>
        <w:t xml:space="preserve">Ammar represents the archetype of the contemporary banker in</w:t>
      </w:r>
      <w:r>
        <w:t xml:space="preserve"> </w:t>
      </w:r>
      <w:r>
        <w:rPr>
          <w:bCs/>
          <w:b/>
        </w:rPr>
        <w:t xml:space="preserve">Iraq Baghdad</w:t>
      </w:r>
      <w:r>
        <w:t xml:space="preserve">. He is not merely a transaction processor; he is a strategic advisor, a compliance officer, and a bridge between traditional Iraqi business practices and modern financial technologies. The role of</w:t>
      </w:r>
      <w:r>
        <w:t xml:space="preserve"> </w:t>
      </w:r>
      <w:r>
        <w:t xml:space="preserve">the banker</w:t>
      </w:r>
      <w:r>
        <w:t xml:space="preserve"> </w:t>
      </w:r>
      <w:r>
        <w:t xml:space="preserve">in this region has shifted significantly from custodial banking to facilitative banking. In</w:t>
      </w:r>
      <w:r>
        <w:t xml:space="preserve"> </w:t>
      </w:r>
      <w:r>
        <w:rPr>
          <w:bCs/>
          <w:b/>
        </w:rPr>
        <w:t xml:space="preserve">Iraq Baghdad</w:t>
      </w:r>
      <w:r>
        <w:t xml:space="preserve">, where small and medium-sized enterprises (SMEs) are the backbone of economic recovery, bankers play a pivotal role in credit assessment and risk management.</w:t>
      </w:r>
    </w:p>
    <w:p>
      <w:pPr>
        <w:pStyle w:val="BodyText"/>
      </w:pPr>
      <w:r>
        <w:t xml:space="preserve">The cultural context is crucial here. In Baghdad, personal relationships still drive business decisions. Therefore,</w:t>
      </w:r>
      <w:r>
        <w:t xml:space="preserve"> </w:t>
      </w:r>
      <w:r>
        <w:t xml:space="preserve">the banker</w:t>
      </w:r>
      <w:r>
        <w:t xml:space="preserve"> </w:t>
      </w:r>
      <w:r>
        <w:t xml:space="preserve">must possess high emotional intelligence alongside technical financial acumen. Trust is the most valuable currency in the Iraqi market. A banker who fails to understand the local tribal dynamics, family-owned business structures, and the historical skepticism toward foreign influence will struggle to succeed in</w:t>
      </w:r>
      <w:r>
        <w:t xml:space="preserve"> </w:t>
      </w:r>
      <w:r>
        <w:rPr>
          <w:bCs/>
          <w:b/>
        </w:rPr>
        <w:t xml:space="preserve">Iraq Baghdad</w:t>
      </w:r>
      <w:r>
        <w:t xml:space="preserve">. This</w:t>
      </w:r>
      <w:r>
        <w:t xml:space="preserve"> </w:t>
      </w:r>
      <w:r>
        <w:t xml:space="preserve">Case Study</w:t>
      </w:r>
      <w:r>
        <w:t xml:space="preserve"> </w:t>
      </w:r>
      <w:r>
        <w:t xml:space="preserve">highlights how Ammar balances these soft skills with hard regulatory requirements.</w:t>
      </w:r>
    </w:p>
    <w:bookmarkEnd w:id="22"/>
    <w:bookmarkStart w:id="23" w:name="X9dcda466f7b3777f14d41ee548d5985d5fc94e9"/>
    <w:p>
      <w:pPr>
        <w:pStyle w:val="Heading2"/>
      </w:pPr>
      <w:r>
        <w:t xml:space="preserve">Operational Challenges and Strategic Responses</w:t>
      </w:r>
    </w:p>
    <w:p>
      <w:pPr>
        <w:pStyle w:val="FirstParagraph"/>
      </w:pPr>
      <w:r>
        <w:t xml:space="preserve">The primary challenge facing banking operations in Baghdad is the legacy infrastructure. While internet penetration has skyrocketed, the underlying electrical grid and physical security measures remain fragile. For</w:t>
      </w:r>
      <w:r>
        <w:t xml:space="preserve"> </w:t>
      </w:r>
      <w:r>
        <w:t xml:space="preserve">the banker</w:t>
      </w:r>
      <w:r>
        <w:t xml:space="preserve">, this means maintaining robust contingency plans for power outages and ensuring that digital platforms are accessible even during intermittent connectivity issues common in parts of</w:t>
      </w:r>
      <w:r>
        <w:t xml:space="preserve"> </w:t>
      </w:r>
      <w:r>
        <w:rPr>
          <w:bCs/>
          <w:b/>
        </w:rPr>
        <w:t xml:space="preserve">Iraq Baghdad</w:t>
      </w:r>
      <w:r>
        <w:t xml:space="preserve">.</w:t>
      </w:r>
    </w:p>
    <w:p>
      <w:pPr>
        <w:pStyle w:val="BodyText"/>
      </w:pPr>
      <w:r>
        <w:t xml:space="preserve">Furthermore, the transition from cash to digital payments is rapid but complex. The Iraqi population has historically relied on cash due to a lack of trust in banking institutions following the instability of previous decades. Ammar’s role involves extensive customer education. He conducts workshops for local merchants in markets like Bab al-Sharqi, explaining the benefits of mobile wallets and QR code payments. This educational aspect is critical for</w:t>
      </w:r>
      <w:r>
        <w:t xml:space="preserve"> </w:t>
      </w:r>
      <w:r>
        <w:t xml:space="preserve">the banker</w:t>
      </w:r>
      <w:r>
        <w:t xml:space="preserve"> </w:t>
      </w:r>
      <w:r>
        <w:t xml:space="preserve">who acts as a catalyst for financial inclusion in</w:t>
      </w:r>
      <w:r>
        <w:t xml:space="preserve"> </w:t>
      </w:r>
      <w:r>
        <w:rPr>
          <w:bCs/>
          <w:b/>
        </w:rPr>
        <w:t xml:space="preserve">Iraq Baghdad</w:t>
      </w:r>
      <w:r>
        <w:t xml:space="preserve">.</w:t>
      </w:r>
    </w:p>
    <w:p>
      <w:pPr>
        <w:pStyle w:val="BodyText"/>
      </w:pPr>
      <w:r>
        <w:t xml:space="preserve">Compliance is another major pillar of this</w:t>
      </w:r>
      <w:r>
        <w:t xml:space="preserve"> </w:t>
      </w:r>
      <w:r>
        <w:t xml:space="preserve">Case Study</w:t>
      </w:r>
      <w:r>
        <w:t xml:space="preserve">. As Iraq seeks to de-risk its banking sector from the global correspondent banking network, bankers are under intense pressure to adhere strictly to international standards. Ammar spends a significant portion of his day reviewing transactions for potential sanctions violations. This dual role—promoting business growth while acting as the first line of defense against financial crime—is a defining characteristic of</w:t>
      </w:r>
      <w:r>
        <w:t xml:space="preserve"> </w:t>
      </w:r>
      <w:r>
        <w:t xml:space="preserve">the banker</w:t>
      </w:r>
      <w:r>
        <w:t xml:space="preserve"> </w:t>
      </w:r>
      <w:r>
        <w:t xml:space="preserve">in the current Iraqi era.</w:t>
      </w:r>
    </w:p>
    <w:bookmarkEnd w:id="23"/>
    <w:bookmarkStart w:id="24" w:name="X0c3869335371672dd57295743eb432c76c760c2"/>
    <w:p>
      <w:pPr>
        <w:pStyle w:val="Heading2"/>
      </w:pPr>
      <w:r>
        <w:t xml:space="preserve">The Role of Digital Transformation in Iraq Baghdad</w:t>
      </w:r>
    </w:p>
    <w:p>
      <w:pPr>
        <w:pStyle w:val="FirstParagraph"/>
      </w:pPr>
      <w:r>
        <w:t xml:space="preserve">Digital transformation is not just a buzzword in this context; it is an economic imperative. The CBI’s "Fintech" initiative has opened doors for digital banks and non-bank financial institutions. For traditional banks, this poses a threat but also an opportunity. In our</w:t>
      </w:r>
      <w:r>
        <w:t xml:space="preserve"> </w:t>
      </w:r>
      <w:r>
        <w:t xml:space="preserve">Case Study</w:t>
      </w:r>
      <w:r>
        <w:t xml:space="preserve">, Ammar leads the digital integration department of his branch in Baghdad.</w:t>
      </w:r>
    </w:p>
    <w:p>
      <w:pPr>
        <w:pStyle w:val="BodyText"/>
      </w:pPr>
      <w:r>
        <w:t xml:space="preserve">The adoption of AI-driven credit scoring models allows bankers to assess the creditworthiness of individuals who lack formal financial histories, a common scenario for many youth in Iraq. By analyzing alternative data points such as utility bill payments and mobile phone usage,</w:t>
      </w:r>
      <w:r>
        <w:t xml:space="preserve"> </w:t>
      </w:r>
      <w:r>
        <w:t xml:space="preserve">the banker</w:t>
      </w:r>
      <w:r>
        <w:t xml:space="preserve"> </w:t>
      </w:r>
      <w:r>
        <w:t xml:space="preserve">can extend loans to previously unbanked populations. This democratization of finance is central to the economic stabilization efforts in</w:t>
      </w:r>
      <w:r>
        <w:t xml:space="preserve"> </w:t>
      </w:r>
      <w:r>
        <w:rPr>
          <w:bCs/>
          <w:b/>
        </w:rPr>
        <w:t xml:space="preserve">Iraq Baghdad</w:t>
      </w:r>
      <w:r>
        <w:t xml:space="preserve">.</w:t>
      </w:r>
    </w:p>
    <w:p>
      <w:pPr>
        <w:pStyle w:val="BodyText"/>
      </w:pPr>
      <w:r>
        <w:t xml:space="preserve">Moreover, the integration with international payment gateways has become smoother. Bankers are now facilitating cross-border trade for Iraqi exporters dealing with GCC countries and beyond. The efficiency gains from these digital channels have reduced processing times from weeks to days, significantly improving the competitiveness of Iraqi businesses. This operational efficiency is a key metric in evaluating the success of</w:t>
      </w:r>
      <w:r>
        <w:t xml:space="preserve"> </w:t>
      </w:r>
      <w:r>
        <w:t xml:space="preserve">the banker</w:t>
      </w:r>
      <w:r>
        <w:t xml:space="preserve"> </w:t>
      </w:r>
      <w:r>
        <w:t xml:space="preserve">in this region.</w:t>
      </w:r>
    </w:p>
    <w:bookmarkEnd w:id="24"/>
    <w:bookmarkStart w:id="25" w:name="X1d936869a8b9cef4c26b2552cc7985325877864"/>
    <w:p>
      <w:pPr>
        <w:pStyle w:val="Heading2"/>
      </w:pPr>
      <w:r>
        <w:t xml:space="preserve">Social Responsibility and Community Impact</w:t>
      </w:r>
    </w:p>
    <w:p>
      <w:pPr>
        <w:pStyle w:val="FirstParagraph"/>
      </w:pPr>
      <w:r>
        <w:t xml:space="preserve">A significant portion of this</w:t>
      </w:r>
      <w:r>
        <w:t xml:space="preserve"> </w:t>
      </w:r>
      <w:r>
        <w:t xml:space="preserve">Case Study</w:t>
      </w:r>
      <w:r>
        <w:t xml:space="preserve"> </w:t>
      </w:r>
      <w:r>
        <w:t xml:space="preserve">focuses on the social contract between banking institutions and the citizens of Baghdad. Banks in Iraq are increasingly involved in corporate social responsibility (CSR) initiatives that focus on education, women’s empowerment, and infrastructure development. Ammar’s bank sponsors financial literacy programs for university students in Baghdad, aiming to create a new generation of financially savvy citizens.</w:t>
      </w:r>
    </w:p>
    <w:p>
      <w:pPr>
        <w:pStyle w:val="BodyText"/>
      </w:pPr>
      <w:r>
        <w:t xml:space="preserve">This community engagement is vital for rebuilding trust. In the aftermath of conflict, the banking sector is viewed with mixed emotions—associated with both corruption and stability. By actively participating in social upliftment projects,</w:t>
      </w:r>
      <w:r>
        <w:t xml:space="preserve"> </w:t>
      </w:r>
      <w:r>
        <w:t xml:space="preserve">the banker</w:t>
      </w:r>
      <w:r>
        <w:t xml:space="preserve"> </w:t>
      </w:r>
      <w:r>
        <w:t xml:space="preserve">helps rebrand the industry as a partner in national reconstruction. This aligns perfectly with Iraq’s Vision 2030, which emphasizes economic diversification beyond oil revenues.</w:t>
      </w:r>
    </w:p>
    <w:bookmarkEnd w:id="25"/>
    <w:bookmarkStart w:id="26" w:name="Xafc51bf6af2883d4a60bdc5cfc23e024fa2e394"/>
    <w:p>
      <w:pPr>
        <w:pStyle w:val="Heading2"/>
      </w:pPr>
      <w:r>
        <w:t xml:space="preserve">Conclusion: The Future of Banking in Baghdad</w:t>
      </w:r>
    </w:p>
    <w:p>
      <w:pPr>
        <w:pStyle w:val="FirstParagraph"/>
      </w:pPr>
      <w:r>
        <w:t xml:space="preserve">In conclusion, this</w:t>
      </w:r>
      <w:r>
        <w:t xml:space="preserve"> </w:t>
      </w:r>
      <w:r>
        <w:t xml:space="preserve">Case Study</w:t>
      </w:r>
      <w:r>
        <w:t xml:space="preserve"> </w:t>
      </w:r>
      <w:r>
        <w:t xml:space="preserve">illustrates that the role of</w:t>
      </w:r>
      <w:r>
        <w:t xml:space="preserve"> </w:t>
      </w:r>
      <w:r>
        <w:t xml:space="preserve">the banker</w:t>
      </w:r>
      <w:r>
        <w:t xml:space="preserve"> </w:t>
      </w:r>
      <w:r>
        <w:t xml:space="preserve">in Iraq Baghdad is evolving from a traditional custodian of wealth to a dynamic facilitator of economic growth. The challenges are significant, ranging from infrastructure limitations to complex compliance landscapes. However, the opportunities are equally vast, driven by a young population eager for digital solutions and a government committed to financial reform.</w:t>
      </w:r>
    </w:p>
    <w:p>
      <w:pPr>
        <w:pStyle w:val="BodyText"/>
      </w:pPr>
      <w:r>
        <w:t xml:space="preserve">The success of banking professionals in this region depends on their ability to adapt continuously. They must be tech-savvy yet culturally grounded, compliant yet innovative. As Iraq Baghdad continues its path toward modernization, the banker will remain a central figure in shaping the nation's economic future. This document underscores that investing in human capital and technology within the Iraqi banking sector is not just a business strategy but a necessity for national stability and prosperity.</w:t>
      </w:r>
    </w:p>
    <w:p>
      <w:pPr>
        <w:pStyle w:val="BodyText"/>
      </w:pPr>
      <w:r>
        <w:t xml:space="preserve">For stakeholders looking to invest or collaborate in</w:t>
      </w:r>
      <w:r>
        <w:t xml:space="preserve"> </w:t>
      </w:r>
      <w:r>
        <w:rPr>
          <w:bCs/>
          <w:b/>
        </w:rPr>
        <w:t xml:space="preserve">Iraq Baghdad</w:t>
      </w:r>
      <w:r>
        <w:t xml:space="preserve">, understanding the nuanced role of</w:t>
      </w:r>
      <w:r>
        <w:t xml:space="preserve"> </w:t>
      </w:r>
      <w:r>
        <w:t xml:space="preserve">the banker</w:t>
      </w:r>
      <w:r>
        <w:t xml:space="preserve"> </w:t>
      </w:r>
      <w:r>
        <w:t xml:space="preserve">is essential. It is no longer sufficient to view them merely as intermediaries; they are strategic partners in development. This</w:t>
      </w:r>
      <w:r>
        <w:t xml:space="preserve"> </w:t>
      </w:r>
      <w:r>
        <w:t xml:space="preserve">Case Study</w:t>
      </w:r>
      <w:r>
        <w:t xml:space="preserve"> </w:t>
      </w:r>
      <w:r>
        <w:t xml:space="preserve">serves as a testament to their potential and the critical importance of their function in the evolving landscape of Iraqi finance.</w:t>
      </w:r>
    </w:p>
    <w:p>
      <w:pPr>
        <w:pStyle w:val="BodyText"/>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Iraq, Baghdad</dc:title>
  <dc:creator/>
  <dc:language>en</dc:language>
  <cp:keywords/>
  <dcterms:created xsi:type="dcterms:W3CDTF">2026-07-29T03:31:11Z</dcterms:created>
  <dcterms:modified xsi:type="dcterms:W3CDTF">2026-07-29T03:31:11Z</dcterms:modified>
</cp:coreProperties>
</file>

<file path=docProps/custom.xml><?xml version="1.0" encoding="utf-8"?>
<Properties xmlns="http://schemas.openxmlformats.org/officeDocument/2006/custom-properties" xmlns:vt="http://schemas.openxmlformats.org/officeDocument/2006/docPropsVTypes"/>
</file>