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Financial</w:t>
      </w:r>
      <w:r>
        <w:t xml:space="preserve"> </w:t>
      </w:r>
      <w:r>
        <w:t xml:space="preserve">Evolution</w:t>
      </w:r>
      <w:r>
        <w:t xml:space="preserve"> </w:t>
      </w:r>
      <w:r>
        <w:t xml:space="preserve">in</w:t>
      </w:r>
      <w:r>
        <w:t xml:space="preserve"> </w:t>
      </w:r>
      <w:r>
        <w:t xml:space="preserve">Italy</w:t>
      </w:r>
      <w:r>
        <w:t xml:space="preserve"> </w:t>
      </w:r>
      <w:r>
        <w:t xml:space="preserve">Rome</w:t>
      </w:r>
    </w:p>
    <w:bookmarkStart w:id="29" w:name="X8d0a7a66a7db1e7fd9a7de9aad6b2f35307324e"/>
    <w:p>
      <w:pPr>
        <w:pStyle w:val="Heading1"/>
      </w:pPr>
      <w:r>
        <w:t xml:space="preserve">The Modern Banker: Navigating the Complex Financial Landscape of Italy Rome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Case Study Report</w:t>
      </w:r>
    </w:p>
    <w:bookmarkStart w:id="20" w:name="executive-summary"/>
    <w:p>
      <w:pPr>
        <w:pStyle w:val="Heading2"/>
      </w:pPr>
      <w:r>
        <w:t xml:space="preserve">Executive Summary</w:t>
      </w:r>
    </w:p>
    <w:p>
      <w:pPr>
        <w:pStyle w:val="FirstParagraph"/>
      </w:pPr>
      <w:r>
        <w:t xml:space="preserve">The financial sector in Europe is undergoing a seismic shift, driven by digital transformation, regulatory changes within the European Union, and evolving customer expectations. This case study focuses on the specific operational environment of a senior</w:t>
      </w:r>
      <w:r>
        <w:t xml:space="preserve"> </w:t>
      </w:r>
      <w:r>
        <w:rPr>
          <w:bCs/>
          <w:b/>
        </w:rPr>
        <w:t xml:space="preserve">Banker</w:t>
      </w:r>
      <w:r>
        <w:t xml:space="preserve"> </w:t>
      </w:r>
      <w:r>
        <w:t xml:space="preserve">operating within</w:t>
      </w:r>
      <w:r>
        <w:t xml:space="preserve"> </w:t>
      </w:r>
      <w:r>
        <w:rPr>
          <w:bCs/>
          <w:b/>
        </w:rPr>
        <w:t xml:space="preserve">Rome, Italy</w:t>
      </w:r>
      <w:r>
        <w:t xml:space="preserve">. Rome serves as a unique microcosm for this analysis due to its historical significance as the center of Italian banking tradition and its concurrent role in adopting cutting-edge fintech solutions. The objective is to analyze how the modern banker must balance heritage with innovation, addressing the specific socio-economic challenges present in</w:t>
      </w:r>
      <w:r>
        <w:t xml:space="preserve"> </w:t>
      </w:r>
      <w:r>
        <w:rPr>
          <w:bCs/>
          <w:b/>
        </w:rPr>
        <w:t xml:space="preserve">Italy Rome</w:t>
      </w:r>
      <w:r>
        <w:t xml:space="preserve">.</w:t>
      </w:r>
    </w:p>
    <w:bookmarkEnd w:id="20"/>
    <w:bookmarkStart w:id="21" w:name="background-the-context-of-italy-rome"/>
    <w:p>
      <w:pPr>
        <w:pStyle w:val="Heading2"/>
      </w:pPr>
      <w:r>
        <w:t xml:space="preserve">Background: The Context of Italy Rome</w:t>
      </w:r>
    </w:p>
    <w:p>
      <w:pPr>
        <w:pStyle w:val="FirstParagraph"/>
      </w:pPr>
      <w:r>
        <w:rPr>
          <w:bCs/>
          <w:b/>
        </w:rPr>
        <w:t xml:space="preserve">Rome, Italy</w:t>
      </w:r>
      <w:r>
        <w:t xml:space="preserve">, is not merely a capital city; it is the heart of a nation with one of the largest economies in Europe and the Eurozone. However, the region faces distinct challenges. Historically reliant on small and medium-sized enterprises (SMEs), Roman financial institutions have had to adapt to post-pandemic economic realities, rising inflation, and stringent regulatory frameworks imposed by Banca d'Italia and European supervisory bodies. The cultural fabric of</w:t>
      </w:r>
      <w:r>
        <w:t xml:space="preserve"> </w:t>
      </w:r>
      <w:r>
        <w:rPr>
          <w:bCs/>
          <w:b/>
        </w:rPr>
        <w:t xml:space="preserve">Italy Rome</w:t>
      </w:r>
      <w:r>
        <w:t xml:space="preserve"> </w:t>
      </w:r>
      <w:r>
        <w:t xml:space="preserve">is deeply intertwined with family heritage, personal relationships, and a cautious approach to debt. For the</w:t>
      </w:r>
      <w:r>
        <w:t xml:space="preserve"> </w:t>
      </w:r>
      <w:r>
        <w:rPr>
          <w:bCs/>
          <w:b/>
        </w:rPr>
        <w:t xml:space="preserve">Banker</w:t>
      </w:r>
      <w:r>
        <w:t xml:space="preserve">, understanding these cultural nuances is as critical as mastering financial metrics.</w:t>
      </w:r>
    </w:p>
    <w:p>
      <w:pPr>
        <w:pStyle w:val="BodyText"/>
      </w:pPr>
      <w:r>
        <w:t xml:space="preserve">The demographic profile of the clients in this region ranges from legacy business owners looking to transition wealth across generations to young professionals seeking digital-first banking experiences. This dichotomy creates a complex service model where personal interaction must coexist with seamless digital integration.</w:t>
      </w:r>
    </w:p>
    <w:bookmarkEnd w:id="21"/>
    <w:bookmarkStart w:id="23" w:name="the-role-of-the-modern-banker"/>
    <w:p>
      <w:pPr>
        <w:pStyle w:val="Heading2"/>
      </w:pPr>
      <w:r>
        <w:t xml:space="preserve">The Role of the Modern Banker</w:t>
      </w:r>
    </w:p>
    <w:p>
      <w:pPr>
        <w:pStyle w:val="FirstParagraph"/>
      </w:pPr>
      <w:r>
        <w:t xml:space="preserve">The traditional archetype of the banker—distant, formal, and transactional—is obsolete. In the context of</w:t>
      </w:r>
      <w:r>
        <w:t xml:space="preserve"> </w:t>
      </w:r>
      <w:r>
        <w:rPr>
          <w:bCs/>
          <w:b/>
        </w:rPr>
        <w:t xml:space="preserve">Rome, Italy</w:t>
      </w:r>
      <w:r>
        <w:t xml:space="preserve">, the modern banker acts as a holistic financial advisor and a strategic partner. The role has expanded to include:</w:t>
      </w:r>
    </w:p>
    <w:p>
      <w:pPr>
        <w:numPr>
          <w:ilvl w:val="0"/>
          <w:numId w:val="1001"/>
        </w:numPr>
        <w:pStyle w:val="Compact"/>
      </w:pPr>
      <w:r>
        <w:rPr>
          <w:bCs/>
          <w:b/>
        </w:rPr>
        <w:t xml:space="preserve">Digital Literacy:</w:t>
      </w:r>
      <w:r>
        <w:t xml:space="preserve"> </w:t>
      </w:r>
      <w:r>
        <w:t xml:space="preserve">Proficiency in using AI-driven analytics, CRM tools, and digital onboarding platforms is mandatory.</w:t>
      </w:r>
    </w:p>
    <w:p>
      <w:pPr>
        <w:numPr>
          <w:ilvl w:val="0"/>
          <w:numId w:val="1001"/>
        </w:numPr>
        <w:pStyle w:val="Compact"/>
      </w:pPr>
      <w:r>
        <w:rPr>
          <w:bCs/>
          <w:b/>
        </w:rPr>
        <w:t xml:space="preserve">Cultural Intelligence:</w:t>
      </w:r>
      <w:r>
        <w:t xml:space="preserve"> </w:t>
      </w:r>
      <w:r>
        <w:t xml:space="preserve">Understanding the Italian concept of "fiducia" (trust) is paramount. Clients in Rome do not just buy products; they buy into relationships.</w:t>
      </w:r>
    </w:p>
    <w:p>
      <w:pPr>
        <w:numPr>
          <w:ilvl w:val="0"/>
          <w:numId w:val="1001"/>
        </w:numPr>
        <w:pStyle w:val="Compact"/>
      </w:pPr>
      <w:r>
        <w:rPr>
          <w:bCs/>
          <w:b/>
        </w:rPr>
        <w:t xml:space="preserve">Regulatory Compliance:</w:t>
      </w:r>
      <w:r>
        <w:t xml:space="preserve"> </w:t>
      </w:r>
      <w:r>
        <w:t xml:space="preserve">Navigating Anti-Money Laundering (AML) directives and Know Your Customer (KYC) protocols with precision, especially given the high-profile nature of international transactions often routed through the capital.</w:t>
      </w:r>
    </w:p>
    <w:bookmarkStart w:id="22" w:name="critical-challenge-the-trust-deficit"/>
    <w:p>
      <w:pPr>
        <w:pStyle w:val="Heading3"/>
      </w:pPr>
      <w:r>
        <w:t xml:space="preserve">Critical Challenge: The Trust Deficit</w:t>
      </w:r>
    </w:p>
    <w:p>
      <w:pPr>
        <w:pStyle w:val="FirstParagraph"/>
      </w:pPr>
      <w:r>
        <w:t xml:space="preserve">In recent years, trust in financial institutions has fluctuated globally. In Rome, where community ties are strong, a banker must actively rebuild this trust by demonstrating transparency and prioritizing client welfare over short-term sales targets.</w:t>
      </w:r>
    </w:p>
    <w:bookmarkEnd w:id="22"/>
    <w:bookmarkEnd w:id="23"/>
    <w:bookmarkStart w:id="25" w:name="case-scenario-the-sme-transformation"/>
    <w:p>
      <w:pPr>
        <w:pStyle w:val="Heading2"/>
      </w:pPr>
      <w:r>
        <w:t xml:space="preserve">Case Scenario: The SME Transformation</w:t>
      </w:r>
    </w:p>
    <w:p>
      <w:pPr>
        <w:pStyle w:val="FirstParagraph"/>
      </w:pPr>
      <w:r>
        <w:t xml:space="preserve">To illustrate the duties of the banker in this specific locale, we examine a hypothetical but representative case involving a historic family-owned textile manufacturer based in Trastevere, Rome. This business has operated for three generations and relies heavily on local credit lines. However, as global supply chains shift and tourism rebounds post-pandemic, the company requires capital for digital transformation rather than just inventory expansion.</w:t>
      </w:r>
    </w:p>
    <w:bookmarkStart w:id="24" w:name="the-bankers-intervention"/>
    <w:p>
      <w:pPr>
        <w:pStyle w:val="Heading3"/>
      </w:pPr>
      <w:r>
        <w:t xml:space="preserve">The Banker’s Intervention</w:t>
      </w:r>
    </w:p>
    <w:p>
      <w:pPr>
        <w:pStyle w:val="FirstParagraph"/>
      </w:pPr>
      <w:r>
        <w:t xml:space="preserve">The assigned banker in this scenario faced several hurdles. First, the traditional loan application process was insufficient because the collateral (historical assets) did not align with the need for intangible investment (software and training). Second, there was resistance from the elder generation of owners who viewed digital banking as impersonal and risky.</w:t>
      </w:r>
    </w:p>
    <w:p>
      <w:pPr>
        <w:pStyle w:val="BodyText"/>
      </w:pPr>
      <w:r>
        <w:t xml:space="preserve">The banker employed a multi-faceted approach tailored to the context of</w:t>
      </w:r>
      <w:r>
        <w:t xml:space="preserve"> </w:t>
      </w:r>
      <w:r>
        <w:rPr>
          <w:bCs/>
          <w:b/>
        </w:rPr>
        <w:t xml:space="preserve">Rome, Italy</w:t>
      </w:r>
      <w:r>
        <w:t xml:space="preserve">:</w:t>
      </w:r>
    </w:p>
    <w:p>
      <w:pPr>
        <w:numPr>
          <w:ilvl w:val="0"/>
          <w:numId w:val="1002"/>
        </w:numPr>
        <w:pStyle w:val="Compact"/>
      </w:pPr>
      <w:r>
        <w:rPr>
          <w:bCs/>
          <w:b/>
        </w:rPr>
        <w:t xml:space="preserve">Persuasive Consultation:</w:t>
      </w:r>
      <w:r>
        <w:t xml:space="preserve"> </w:t>
      </w:r>
      <w:r>
        <w:t xml:space="preserve">Instead of pushing standard loans, the banker organized a workshop with local financial experts in Rome to explain EU grants available for digitalization. This positioned the banker as a connector to broader resources.</w:t>
      </w:r>
    </w:p>
    <w:p>
      <w:pPr>
        <w:numPr>
          <w:ilvl w:val="0"/>
          <w:numId w:val="1002"/>
        </w:numPr>
        <w:pStyle w:val="Compact"/>
      </w:pPr>
      <w:r>
        <w:rPr>
          <w:bCs/>
          <w:b/>
        </w:rPr>
        <w:t xml:space="preserve">Demonstration of Technology:</w:t>
      </w:r>
      <w:r>
        <w:t xml:space="preserve"> </w:t>
      </w:r>
      <w:r>
        <w:t xml:space="preserve">The banker introduced a secure digital dashboard that allowed real-time monitoring of cash flow without requiring face-to-face visits. This addressed the efficiency needs while maintaining the security preferred by older stakeholders.</w:t>
      </w:r>
    </w:p>
    <w:p>
      <w:pPr>
        <w:numPr>
          <w:ilvl w:val="0"/>
          <w:numId w:val="1002"/>
        </w:numPr>
        <w:pStyle w:val="Compact"/>
      </w:pPr>
      <w:r>
        <w:rPr>
          <w:bCs/>
          <w:b/>
        </w:rPr>
        <w:t xml:space="preserve">Cultural Bridging:</w:t>
      </w:r>
      <w:r>
        <w:t xml:space="preserve"> </w:t>
      </w:r>
      <w:r>
        <w:t xml:space="preserve">Recognizing the importance of family dynamics, the banker facilitated separate meetings with second-generation managers who favored innovation and third-generation owners who valued tradition, eventually finding a compromise that honored both views.</w:t>
      </w:r>
    </w:p>
    <w:bookmarkEnd w:id="24"/>
    <w:bookmarkEnd w:id="25"/>
    <w:bookmarkStart w:id="26" w:name="economic-implications-for-italy-rome"/>
    <w:p>
      <w:pPr>
        <w:pStyle w:val="Heading2"/>
      </w:pPr>
      <w:r>
        <w:t xml:space="preserve">Economic Implications for Italy Rome</w:t>
      </w:r>
    </w:p>
    <w:p>
      <w:pPr>
        <w:pStyle w:val="FirstParagraph"/>
      </w:pPr>
      <w:r>
        <w:t xml:space="preserve">The success of such banking interventions has macroeconomic implications for the region. When bankers in Rome effectively support SMEs in their transition to digital economies, it stimulates local employment and increases the competitiveness of Italian exports. The financial sector acts as the circulatory system for this economic body; if the</w:t>
      </w:r>
      <w:r>
        <w:t xml:space="preserve"> </w:t>
      </w:r>
      <w:r>
        <w:rPr>
          <w:bCs/>
          <w:b/>
        </w:rPr>
        <w:t xml:space="preserve">Banker</w:t>
      </w:r>
      <w:r>
        <w:t xml:space="preserve"> </w:t>
      </w:r>
      <w:r>
        <w:t xml:space="preserve">fails to adapt, capital stagnates.</w:t>
      </w:r>
    </w:p>
    <w:p>
      <w:pPr>
        <w:pStyle w:val="BodyText"/>
      </w:pPr>
      <w:r>
        <w:t xml:space="preserve">Furthermore, Rome is a hub for international diplomacy and tourism. The banker plays a crucial role in managing foreign exchange risks for businesses dealing with international tourists and investors. Efficient currency management and cross-border payment solutions are vital services that enhance Rome's appeal as an investment destination within</w:t>
      </w:r>
      <w:r>
        <w:t xml:space="preserve"> </w:t>
      </w:r>
      <w:r>
        <w:rPr>
          <w:bCs/>
          <w:b/>
        </w:rPr>
        <w:t xml:space="preserve">Italy</w:t>
      </w:r>
      <w:r>
        <w:t xml:space="preserve">.</w:t>
      </w:r>
    </w:p>
    <w:bookmarkEnd w:id="26"/>
    <w:bookmarkStart w:id="27" w:name="risks-and-mitigation-strategies"/>
    <w:p>
      <w:pPr>
        <w:pStyle w:val="Heading2"/>
      </w:pPr>
      <w:r>
        <w:t xml:space="preserve">Risks and Mitigation Strategies</w:t>
      </w:r>
    </w:p>
    <w:p>
      <w:pPr>
        <w:pStyle w:val="FirstParagraph"/>
      </w:pPr>
      <w:r>
        <w:t xml:space="preserve">The professional landscape for a banker in this region is not without risks. Cybersecurity threats are escalating, targeting both retail and commercial accounts. Additionally, regulatory penalties for non-compliance can be severe.</w:t>
      </w:r>
    </w:p>
    <w:p>
      <w:pPr>
        <w:numPr>
          <w:ilvl w:val="0"/>
          <w:numId w:val="1003"/>
        </w:numPr>
        <w:pStyle w:val="Compact"/>
      </w:pPr>
      <w:r>
        <w:rPr>
          <w:bCs/>
          <w:b/>
        </w:rPr>
        <w:t xml:space="preserve">Risk:</w:t>
      </w:r>
      <w:r>
        <w:rPr>
          <w:iCs/>
          <w:i/>
        </w:rPr>
        <w:t xml:space="preserve">Mitigation:</w:t>
      </w:r>
      <w:r>
        <w:t xml:space="preserve"> </w:t>
      </w:r>
      <w:r>
        <w:t xml:space="preserve">Continuous staff training on cybersecurity best practices and investment in robust encryption technologies.</w:t>
      </w:r>
    </w:p>
    <w:p>
      <w:pPr>
        <w:numPr>
          <w:ilvl w:val="0"/>
          <w:numId w:val="1003"/>
        </w:numPr>
        <w:pStyle w:val="Compact"/>
      </w:pPr>
      <w:r>
        <w:rPr>
          <w:bCs/>
          <w:b/>
        </w:rPr>
        <w:t xml:space="preserve">Risk:</w:t>
      </w:r>
      <w:r>
        <w:rPr>
          <w:iCs/>
          <w:i/>
        </w:rPr>
        <w:t xml:space="preserve">Mitigation:</w:t>
      </w:r>
      <w:r>
        <w:t xml:space="preserve"> </w:t>
      </w:r>
      <w:r>
        <w:t xml:space="preserve">Establishing a dedicated compliance team within the bank branch to monitor updates from Banca d'Italia immediately.</w:t>
      </w:r>
    </w:p>
    <w:p>
      <w:pPr>
        <w:numPr>
          <w:ilvl w:val="0"/>
          <w:numId w:val="1003"/>
        </w:numPr>
        <w:pStyle w:val="Compact"/>
      </w:pPr>
      <w:r>
        <w:rPr>
          <w:bCs/>
          <w:b/>
        </w:rPr>
        <w:t xml:space="preserve">Risk:</w:t>
      </w:r>
      <w:r>
        <w:rPr>
          <w:iCs/>
          <w:i/>
        </w:rPr>
        <w:t xml:space="preserve">Mitigation:</w:t>
      </w:r>
      <w:r>
        <w:t xml:space="preserve"> </w:t>
      </w:r>
      <w:r>
        <w:t xml:space="preserve">Implementing a hybrid service model where digital efficiency handles routine tasks, freeing up bankers for high-value, face-to-face advisory sessions in Rome.</w:t>
      </w:r>
    </w:p>
    <w:bookmarkEnd w:id="27"/>
    <w:bookmarkStart w:id="28" w:name="conclusion"/>
    <w:p>
      <w:pPr>
        <w:pStyle w:val="Heading2"/>
      </w:pPr>
      <w:r>
        <w:t xml:space="preserve">Conclusion</w:t>
      </w:r>
    </w:p>
    <w:p>
      <w:pPr>
        <w:pStyle w:val="FirstParagraph"/>
      </w:pPr>
      <w:r>
        <w:t xml:space="preserve">The evolution of the banker in</w:t>
      </w:r>
      <w:r>
        <w:t xml:space="preserve"> </w:t>
      </w:r>
      <w:r>
        <w:rPr>
          <w:bCs/>
          <w:b/>
        </w:rPr>
        <w:t xml:space="preserve">Rome, Italy</w:t>
      </w:r>
      <w:r>
        <w:t xml:space="preserve">, represents a critical intersection of tradition and modernity. The successful banker today must be a hybrid professional: part traditional relationship manager who respects the deep-seated cultural values of Roman society, and part tech-savvy strategist capable of navigating complex financial landscapes.</w:t>
      </w:r>
      <w:r>
        <w:t xml:space="preserve"> </w:t>
      </w:r>
      <w:r>
        <w:t xml:space="preserve">This case study demonstrates that for the industry to thrive in</w:t>
      </w:r>
      <w:r>
        <w:t xml:space="preserve"> </w:t>
      </w:r>
      <w:r>
        <w:rPr>
          <w:bCs/>
          <w:b/>
        </w:rPr>
        <w:t xml:space="preserve">Italy Rome</w:t>
      </w:r>
      <w:r>
        <w:t xml:space="preserve">, institutions must invest in their human capital. The technology is merely a tool; the true value lies in the banker's ability to interpret data within a cultural context, building trust with clients who span multiple generations. As</w:t>
      </w:r>
      <w:r>
        <w:t xml:space="preserve"> </w:t>
      </w:r>
      <w:r>
        <w:rPr>
          <w:bCs/>
          <w:b/>
        </w:rPr>
        <w:t xml:space="preserve">Rome, Italy</w:t>
      </w:r>
      <w:r>
        <w:t xml:space="preserve"> </w:t>
      </w:r>
      <w:r>
        <w:t xml:space="preserve">continues to integrate into the broader European digital economy, the role of the banker will only become more pivotal, serving as both guardian of wealth and catalyst for innovation.</w:t>
      </w:r>
    </w:p>
    <w:p>
      <w:pPr>
        <w:pStyle w:val="BodyText"/>
      </w:pPr>
      <w:r>
        <w:t xml:space="preserve">In conclusion, adapting to this new paradigm is not optional but essential for sustainability. The modern banker in Rome must embrace change while honoring heritage, ensuring that financial services remain accessible, secure, and relevant to the people of</w:t>
      </w:r>
      <w:r>
        <w:t xml:space="preserve"> </w:t>
      </w:r>
      <w:r>
        <w:rPr>
          <w:bCs/>
          <w:b/>
        </w:rPr>
        <w:t xml:space="preserve">Italy</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A Case Study on Financial Evolution in Italy Rome</dc:title>
  <dc:creator/>
  <dc:language>en</dc:language>
  <cp:keywords/>
  <dcterms:created xsi:type="dcterms:W3CDTF">2026-07-29T09:32:10Z</dcterms:created>
  <dcterms:modified xsi:type="dcterms:W3CDTF">2026-07-29T09:32:10Z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