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1204d637f52a6a3c0c7893b2536074d6ae272f"/>
    <w:p>
      <w:pPr>
        <w:pStyle w:val="Heading1"/>
      </w:pPr>
      <w:r>
        <w:t xml:space="preserve">A Strategic Case Study of the Banking Sector in Kuwait City</w:t>
      </w:r>
    </w:p>
    <w:p>
      <w:pPr>
        <w:pStyle w:val="FirstParagraph"/>
      </w:pPr>
      <w:r>
        <w:rPr>
          <w:bCs/>
          <w:b/>
        </w:rPr>
        <w:t xml:space="preserve">Date:</w:t>
      </w:r>
      <w:r>
        <w:t xml:space="preserve"> </w:t>
      </w:r>
      <w:r>
        <w:t xml:space="preserve">October 24, 2023</w:t>
      </w:r>
      <w:r>
        <w:br/>
      </w:r>
      <w:r>
        <w:rPr>
          <w:bCs/>
          <w:b/>
        </w:rPr>
        <w:t xml:space="preserve">Subject:</w:t>
      </w:r>
      <w:r>
        <w:t xml:space="preserve">An In-Depth Analysis of the Modern Banker's Role within the Dynamic Financial Hub of Kuwait City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financial landscape of Kuwait is undergoing a profound transformation, driven by global economic shifts and domestic reform initiatives such as Vision 2035 (New Kuwait). At the heart of this evolution is the role of the modern banker. This case study explores how the traditional identity of a banker in Kuwait City is being redefined. It examines the interplay between cultural heritage, rapid technological adoption, and regulatory compliance within one of the most stable economies in the Middle East. By analyzing specific operational challenges and strategic adaptations, this document highlights why understanding the context of Kuwait City is essential for any successful banking operation.</w:t>
      </w:r>
    </w:p>
    <w:bookmarkEnd w:id="20"/>
    <w:bookmarkStart w:id="21" w:name="Xe980843e70d7a4f4218329a4f6ba2e7a2510656"/>
    <w:p>
      <w:pPr>
        <w:pStyle w:val="Heading2"/>
      </w:pPr>
      <w:r>
        <w:t xml:space="preserve">2. Contextual Background: The Landscape of Kuwait City</w:t>
      </w:r>
    </w:p>
    <w:p>
      <w:pPr>
        <w:pStyle w:val="FirstParagraph"/>
      </w:pPr>
      <w:r>
        <w:t xml:space="preserve">Kuwait City serves as the commercial and administrative capital of the State of Kuwait. Historically, its economy has been heavily reliant on hydrocarbon exports, contributing to a high per capita income and a robust sovereign wealth fund. However, recent years have seen a deliberate push toward economic diversification. The city itself is not merely a geographic location but a financial ecosystem where traditional values meet modern cosmopolitan demands.</w:t>
      </w:r>
    </w:p>
    <w:p>
      <w:pPr>
        <w:pStyle w:val="BodyText"/>
      </w:pPr>
      <w:r>
        <w:t xml:space="preserve">The banking sector in Kuwait City is characterized by dualism: the coexistence of large, established local banks and an increasing presence of international financial institutions. This environment creates a unique competitive landscape. For the banker operating within this sphere, success requires more than just technical proficiency; it necessitates a deep understanding of the socio-economic fabric that defines Kuwait City.</w:t>
      </w:r>
    </w:p>
    <w:bookmarkEnd w:id="21"/>
    <w:bookmarkStart w:id="22" w:name="X66c1e5188e09d63aef576ed15b4ffc6081f70a3"/>
    <w:p>
      <w:pPr>
        <w:pStyle w:val="Heading2"/>
      </w:pPr>
      <w:r>
        <w:t xml:space="preserve">3. The Evolution of the Banker: From Transactional to Advisory</w:t>
      </w:r>
    </w:p>
    <w:p>
      <w:pPr>
        <w:pStyle w:val="FirstParagraph"/>
      </w:pPr>
      <w:r>
        <w:t xml:space="preserve">The traditional image of a banker—focused primarily on processing deposits and loans—is rapidly becoming obsolete. In Kuwait City, the modern banker is expected to act as a holistic financial advisor. This shift is driven by several factors:</w:t>
      </w:r>
    </w:p>
    <w:p>
      <w:pPr>
        <w:numPr>
          <w:ilvl w:val="0"/>
          <w:numId w:val="1001"/>
        </w:numPr>
        <w:pStyle w:val="Compact"/>
      </w:pPr>
      <w:r>
        <w:rPr>
          <w:bCs/>
          <w:b/>
        </w:rPr>
        <w:t xml:space="preserve">Digital Transformation:</w:t>
      </w:r>
      <w:r>
        <w:t xml:space="preserve"> </w:t>
      </w:r>
      <w:r>
        <w:t xml:space="preserve">The widespread adoption of fintech solutions has automated routine transactions. Consequently, bankers must pivot their value proposition toward complex advisory services, wealth management, and strategic financial planning.</w:t>
      </w:r>
    </w:p>
    <w:p>
      <w:pPr>
        <w:numPr>
          <w:ilvl w:val="0"/>
          <w:numId w:val="1001"/>
        </w:numPr>
        <w:pStyle w:val="Compact"/>
      </w:pPr>
      <w:r>
        <w:rPr>
          <w:bCs/>
          <w:b/>
        </w:rPr>
        <w:t xml:space="preserve">Cultural Nuance:</w:t>
      </w:r>
      <w:r>
        <w:t xml:space="preserve"> </w:t>
      </w:r>
      <w:r>
        <w:t xml:space="preserve">In Kuwait City, banking is a highly relational business. Trust (Amana) is paramount. The banker must navigate the intricate social hierarchies and family conglomerates that dominate the local corporate sector. A one-size-fits-all approach fails here; personalized service grounded in cultural respect is non-negotiable.</w:t>
      </w:r>
    </w:p>
    <w:p>
      <w:pPr>
        <w:numPr>
          <w:ilvl w:val="0"/>
          <w:numId w:val="1001"/>
        </w:numPr>
        <w:pStyle w:val="Compact"/>
      </w:pPr>
      <w:r>
        <w:rPr>
          <w:bCs/>
          <w:b/>
        </w:rPr>
        <w:t xml:space="preserve">SME Financing:</w:t>
      </w:r>
      <w:r>
        <w:t xml:space="preserve"> </w:t>
      </w:r>
      <w:r>
        <w:t xml:space="preserve">With Vision 2035 emphasizing private sector growth, there is a surge in Small and Medium Enterprises (SMEs). The banker plays a critical role in nurturing these businesses, moving beyond collateral-based lending to cash-flow analysis and business development support.</w:t>
      </w:r>
    </w:p>
    <w:bookmarkEnd w:id="22"/>
    <w:bookmarkStart w:id="24" w:name="Xe09beae227f6b09afdcc81c050cacacfab9282a"/>
    <w:p>
      <w:pPr>
        <w:pStyle w:val="Heading2"/>
      </w:pPr>
      <w:r>
        <w:t xml:space="preserve">4. Key Challenges Facing Bankers in Kuwait City</w:t>
      </w:r>
    </w:p>
    <w:p>
      <w:pPr>
        <w:pStyle w:val="FirstParagraph"/>
      </w:pPr>
      <w:r>
        <w:t xml:space="preserve">The operating environment for the banker presents distinct challenges. One significant issue is regulatory compliance. The Central Bank of Kuwait (CBK) has implemented stringent anti-money laundering (AML) and know-your-customer (KYC) regulations to align with global standards. For the banker in Kuwait City, this means rigorous due diligence processes that can sometimes slow down client acquisition.</w:t>
      </w:r>
    </w:p>
    <w:p>
      <w:pPr>
        <w:pStyle w:val="BodyText"/>
      </w:pPr>
      <w:r>
        <w:t xml:space="preserve">Another challenge is competition from non-traditional financial players. The rise of digital-only banks and fintech startups in the region forces traditional bankers to innovate rapidly. If a banker fails to integrate user-friendly mobile platforms alongside their personal advisory services, they risk losing market share to more agile competitors.</w:t>
      </w:r>
    </w:p>
    <w:bookmarkStart w:id="23" w:name="the-talent-gap"/>
    <w:p>
      <w:pPr>
        <w:pStyle w:val="Heading3"/>
      </w:pPr>
      <w:r>
        <w:t xml:space="preserve">4.1 The Talent Gap</w:t>
      </w:r>
    </w:p>
    <w:p>
      <w:pPr>
        <w:pStyle w:val="FirstParagraph"/>
      </w:pPr>
      <w:r>
        <w:t xml:space="preserve">Furthermore, there is an ongoing challenge regarding human capital. While Kuwaitization policies aim to prioritize national talent in the private sector, there remains a skills gap in specialized areas such as risk management and advanced digital analytics. The modern banker must therefore be committed to continuous professional development to remain competitive.</w:t>
      </w:r>
    </w:p>
    <w:bookmarkEnd w:id="23"/>
    <w:bookmarkEnd w:id="24"/>
    <w:bookmarkStart w:id="25" w:name="strategic-opportunities"/>
    <w:p>
      <w:pPr>
        <w:pStyle w:val="Heading2"/>
      </w:pPr>
      <w:r>
        <w:t xml:space="preserve">5. Strategic Opportunities</w:t>
      </w:r>
    </w:p>
    <w:p>
      <w:pPr>
        <w:pStyle w:val="FirstParagraph"/>
      </w:pPr>
      <w:r>
        <w:t xml:space="preserve">Despite these challenges, Kuwait City offers immense opportunities for the proactive banker. The green finance sector is emerging as a priority area, aligned with global sustainability goals and local environmental initiatives. Bankers who specialize in structuring green bonds or financing renewable energy projects will find themselves at the forefront of this new economic wave.</w:t>
      </w:r>
    </w:p>
    <w:p>
      <w:pPr>
        <w:pStyle w:val="BodyText"/>
      </w:pPr>
      <w:r>
        <w:t xml:space="preserve">Additionally, the integration of Islamic Finance remains a cornerstone of banking in Kuwait City. Unlike conventional banking models, Islamic finance operates on ethical principles and risk-sharing mechanisms. The banker must be proficient in Sharia-compliant products such as Murabaha and Ijara. Mastery of these products is not just a regulatory requirement but a significant competitive advantage, as the majority of the population prefers Sharia-compliant financial instruments.</w:t>
      </w:r>
    </w:p>
    <w:bookmarkEnd w:id="25"/>
    <w:bookmarkStart w:id="26" w:name="Xa54fc1d08a1ee0d62376043ccd2327fcd0f7ae1"/>
    <w:p>
      <w:pPr>
        <w:pStyle w:val="Heading2"/>
      </w:pPr>
      <w:r>
        <w:t xml:space="preserve">6. Case Scenario: Implementing Digital Advisory in Kuwait City</w:t>
      </w:r>
    </w:p>
    <w:p>
      <w:pPr>
        <w:pStyle w:val="FirstParagraph"/>
      </w:pPr>
      <w:r>
        <w:t xml:space="preserve">To illustrate these concepts, consider a hypothetical scenario involving "Al-Noor Bank," a fictional mid-sized institution in Kuwait City. Al-Noor Bank seeks to enhance its customer retention by empowering its bankers with digital tools.</w:t>
      </w:r>
    </w:p>
    <w:p>
      <w:pPr>
        <w:pStyle w:val="BodyText"/>
      </w:pPr>
      <w:r>
        <w:rPr>
          <w:bCs/>
          <w:b/>
        </w:rPr>
        <w:t xml:space="preserve">The Challenge:</w:t>
      </w:r>
      <w:r>
        <w:t xml:space="preserve"> </w:t>
      </w:r>
      <w:r>
        <w:t xml:space="preserve">Branch traffic was declining as customers moved online, leaving bankers with fewer face-to-face interactions and thus less opportunity to cross-sell products.</w:t>
      </w:r>
      <w:r>
        <w:br/>
      </w:r>
      <w:r>
        <w:rPr>
          <w:bCs/>
          <w:b/>
        </w:rPr>
        <w:t xml:space="preserve">The Solution:</w:t>
      </w:r>
      <w:r>
        <w:t xml:space="preserve"> </w:t>
      </w:r>
      <w:r>
        <w:t xml:space="preserve">The bank introduced a "Hybrid Banking Model." Bankers were trained to use data analytics platforms that flagged client needs based on transaction patterns. For example, if a customer frequently paid international tuition fees, the banker would proactively suggest forex hedging services or educational savings plans.</w:t>
      </w:r>
      <w:r>
        <w:br/>
      </w:r>
      <w:r>
        <w:rPr>
          <w:bCs/>
          <w:b/>
        </w:rPr>
        <w:t xml:space="preserve">The Outcome:</w:t>
      </w:r>
      <w:r>
        <w:t xml:space="preserve"> </w:t>
      </w:r>
      <w:r>
        <w:t xml:space="preserve">Within six months, Al-Noor Bank saw a 15% increase in cross-selling revenue. More importantly, customer satisfaction scores rose because clients felt their bankers were proactive and knowledgeable rather than merely transactional.</w:t>
      </w:r>
    </w:p>
    <w:bookmarkEnd w:id="26"/>
    <w:bookmarkStart w:id="27" w:name="conclusion"/>
    <w:p>
      <w:pPr>
        <w:pStyle w:val="Heading2"/>
      </w:pPr>
      <w:r>
        <w:t xml:space="preserve">7. Conclusion</w:t>
      </w:r>
    </w:p>
    <w:p>
      <w:pPr>
        <w:pStyle w:val="FirstParagraph"/>
      </w:pPr>
      <w:r>
        <w:t xml:space="preserve">In conclusion, the role of the banker in Kuwait City is undergoing a metamorphosis that mirrors broader global trends while remaining deeply rooted in local cultural realities. Success in this market requires a dual competency: technical excellence in finance and digital literacy, coupled with high emotional intelligence and cultural sensitivity. As Kuwait City continues to diversify its economy under Vision 2035, the banker will serve as a crucial catalyst for growth.</w:t>
      </w:r>
    </w:p>
    <w:p>
      <w:pPr>
        <w:pStyle w:val="BodyText"/>
      </w:pPr>
      <w:r>
        <w:t xml:space="preserve">The future belongs to bankers who can bridge the gap between traditional trust-based relationships and cutting-edge financial technology. For institutions operating in Kuwait City, investing in the development of such versatile professionals is not merely an operational improvement; it is a strategic imperative for long-term sustainability and leadership in the Gulf region.</w:t>
      </w:r>
    </w:p>
    <w:p>
      <w:r>
        <w:pict>
          <v:rect style="width:0;height:1.5pt" o:hralign="center" o:hrstd="t" o:hr="t"/>
        </w:pict>
      </w:r>
    </w:p>
    <w:p>
      <w:pPr>
        <w:pStyle w:val="FirstParagraph"/>
      </w:pPr>
      <w:r>
        <w:rPr>
          <w:iCs/>
          <w:i/>
        </w:rPr>
        <w:t xml:space="preserve">This Case Study is intended for educational and informational purposes regarding banking operations 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2026-07-29T06:31:10Z</dcterms:created>
  <dcterms:modified xsi:type="dcterms:W3CDTF">2026-07-29T06:31:10Z</dcterms:modified>
</cp:coreProperties>
</file>

<file path=docProps/custom.xml><?xml version="1.0" encoding="utf-8"?>
<Properties xmlns="http://schemas.openxmlformats.org/officeDocument/2006/custom-properties" xmlns:vt="http://schemas.openxmlformats.org/officeDocument/2006/docPropsVTypes"/>
</file>