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fb92263c96dbdd8ecb6df96d41abd02276b1d27"/>
    <w:p>
      <w:pPr>
        <w:pStyle w:val="Heading1"/>
      </w:pPr>
      <w:r>
        <w:t xml:space="preserve">The Evolution of the Banker in Malaysia Kuala Lumpur: A Strategic Case Study</w:t>
      </w:r>
    </w:p>
    <w:p>
      <w:pPr>
        <w:pStyle w:val="FirstParagraph"/>
      </w:pPr>
      <w:r>
        <w:rPr>
          <w:bCs/>
          <w:b/>
        </w:rPr>
        <w:t xml:space="preserve">Date:</w:t>
      </w:r>
      <w:r>
        <w:t xml:space="preserve"> </w:t>
      </w:r>
      <w:r>
        <w:t xml:space="preserve">October 2023</w:t>
      </w:r>
      <w:r>
        <w:br/>
      </w:r>
      <w:r>
        <w:rPr>
          <w:bCs/>
          <w:b/>
        </w:rPr>
        <w:t xml:space="preserve">Subject:</w:t>
      </w:r>
      <w:r>
        <w:br/>
      </w:r>
      <w:r>
        <w:t xml:space="preserve">Digital Transformation, Regulatory Compliance, and Client Relationship Management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profound transformation of the traditional role of a Banker within the dynamic financial landscape of Malaysia Kuala Lumpur. As one of Southeast Asia’s most vibrant economic hubs, Malaysia Kuala Lumpur serves as a critical testing ground for fintech innovation, regulatory evolution, and shifting consumer behaviors. The modern Banker is no longer merely a custodian of deposits but has evolved into a strategic financial advisor, a digital liaison, and a compliance guardian. This document analyzes the multifaceted challenges and opportunities faced by financial professionals operating in this specific geographic and economic context.</w:t>
      </w:r>
    </w:p>
    <w:bookmarkEnd w:id="20"/>
    <w:bookmarkStart w:id="21" w:name="Xdf02d7f2c8220e276bc5ecfca9f86b6f3a53562"/>
    <w:p>
      <w:pPr>
        <w:pStyle w:val="Heading2"/>
      </w:pPr>
      <w:r>
        <w:t xml:space="preserve">2. Background: The Context of Malaysia Kuala Lumpur</w:t>
      </w:r>
    </w:p>
    <w:p>
      <w:pPr>
        <w:pStyle w:val="FirstParagraph"/>
      </w:pPr>
      <w:r>
        <w:rPr>
          <w:bCs/>
          <w:b/>
        </w:rPr>
        <w:t xml:space="preserve">Malaysia Kuala Lumpur</w:t>
      </w:r>
      <w:r>
        <w:t xml:space="preserve"> </w:t>
      </w:r>
      <w:r>
        <w:t xml:space="preserve">is not just a geographical location; it is the beating heart of the nation's economy. As the capital city, it hosts the headquarters of Bank Negara Malaysia (the central bank), major local banks such as Maybank, CIMB, and Public Bank, as well as a significant presence of international financial institutions. The ecosystem in</w:t>
      </w:r>
      <w:r>
        <w:t xml:space="preserve"> </w:t>
      </w:r>
      <w:r>
        <w:rPr>
          <w:bCs/>
          <w:b/>
        </w:rPr>
        <w:t xml:space="preserve">Malaysia Kuala Lumpur</w:t>
      </w:r>
      <w:r>
        <w:t xml:space="preserve"> </w:t>
      </w:r>
      <w:r>
        <w:t xml:space="preserve">is characterized by high digital penetration among its urban population and a growing demand for sophisticated wealth management services.</w:t>
      </w:r>
    </w:p>
    <w:p>
      <w:pPr>
        <w:pStyle w:val="BodyText"/>
      </w:pPr>
      <w:r>
        <w:t xml:space="preserve">The emergence of fintech startups in this region has disrupted traditional banking models. Consequently, the role of the Banker has shifted from transactional processing to value-added advisory. In</w:t>
      </w:r>
      <w:r>
        <w:t xml:space="preserve"> </w:t>
      </w:r>
      <w:r>
        <w:rPr>
          <w:bCs/>
          <w:b/>
        </w:rPr>
        <w:t xml:space="preserve">Malaysia Kuala Lumpur</w:t>
      </w:r>
      <w:r>
        <w:t xml:space="preserve">, where competition is fierce not only among local entities but also with regional players from Singapore and Indonesia, Bankers must adapt swiftly to maintain relevance.</w:t>
      </w:r>
    </w:p>
    <w:bookmarkEnd w:id="21"/>
    <w:bookmarkStart w:id="25" w:name="X2eee42a58bcd6d1bf4bfb30b50071e1ebe9459e"/>
    <w:p>
      <w:pPr>
        <w:pStyle w:val="Heading2"/>
      </w:pPr>
      <w:r>
        <w:t xml:space="preserve">3. The Changing Profile of the Modern Banker</w:t>
      </w:r>
    </w:p>
    <w:p>
      <w:pPr>
        <w:pStyle w:val="FirstParagraph"/>
      </w:pPr>
      <w:r>
        <w:t xml:space="preserve">The traditional image of a Banker—stiff, formal, and focused solely on paperwork—is obsolete in the current era. Today’s professional operating in</w:t>
      </w:r>
      <w:r>
        <w:t xml:space="preserve"> </w:t>
      </w:r>
      <w:r>
        <w:rPr>
          <w:bCs/>
          <w:b/>
        </w:rPr>
        <w:t xml:space="preserve">Malaysia Kuala Lumpur</w:t>
      </w:r>
      <w:r>
        <w:br/>
      </w:r>
      <w:r>
        <w:t xml:space="preserve">must possess a hybrid skill set combining deep financial knowledge with technological acumen.</w:t>
      </w:r>
    </w:p>
    <w:bookmarkStart w:id="22" w:name="digital-fluency-and-fintech-integration"/>
    <w:p>
      <w:pPr>
        <w:pStyle w:val="Heading3"/>
      </w:pPr>
      <w:r>
        <w:t xml:space="preserve">3.1 Digital Fluency and Fintech Integration</w:t>
      </w:r>
    </w:p>
    <w:p>
      <w:pPr>
        <w:pStyle w:val="FirstParagraph"/>
      </w:pPr>
      <w:r>
        <w:t xml:space="preserve">In today’s environment, Bankers are expected to be proficient in digital platforms that enhance customer experience. This includes managing mobile banking integrations, utilizing AI-driven credit scoring tools, and advising clients on blockchain-based assets. For a Banker based in</w:t>
      </w:r>
      <w:r>
        <w:t xml:space="preserve"> </w:t>
      </w:r>
      <w:r>
        <w:rPr>
          <w:bCs/>
          <w:b/>
        </w:rPr>
        <w:t xml:space="preserve">Malaysia Kuala Lumpur</w:t>
      </w:r>
      <w:r>
        <w:t xml:space="preserve">, understanding the local digital payment ecosystems—such as DuitNow and FPX—is essential. The ability to guide older demographics through digital adoption while simultaneously engaging tech-savvy millennials is a key differentiator.</w:t>
      </w:r>
    </w:p>
    <w:bookmarkEnd w:id="22"/>
    <w:bookmarkStart w:id="23" w:name="X86b1f56eb6ae41a2330fb3ae09120c63d306174"/>
    <w:p>
      <w:pPr>
        <w:pStyle w:val="Heading3"/>
      </w:pPr>
      <w:r>
        <w:t xml:space="preserve">2.2 Regulatory Compliance and Ethical Stewardship</w:t>
      </w:r>
    </w:p>
    <w:p>
      <w:pPr>
        <w:pStyle w:val="FirstParagraph"/>
      </w:pPr>
      <w:r>
        <w:rPr>
          <w:bCs/>
          <w:b/>
        </w:rPr>
        <w:t xml:space="preserve">Malaysia Kuala Lumpur</w:t>
      </w:r>
      <w:r>
        <w:br/>
      </w:r>
      <w:r>
        <w:t xml:space="preserve">is governed by strict financial regulations set by Bank Negara Malaysia and the Securities Commission. The role of a Banker now heavily involves ensuring compliance with Anti-Money Laundering (AML) and Counter-Financing of Terrorism (CFT) protocols. Given the international nature of trade in</w:t>
      </w:r>
      <w:r>
        <w:t xml:space="preserve"> </w:t>
      </w:r>
      <w:r>
        <w:rPr>
          <w:bCs/>
          <w:b/>
        </w:rPr>
        <w:t xml:space="preserve">Malaysia Kuala Lumpur</w:t>
      </w:r>
      <w:r>
        <w:t xml:space="preserve">, Bankers must be vigilant against complex financial crimes. Ethical stewardship is paramount; trust is the currency of banking, and any breach can severely damage a Banker’s reputation within the tight-knit professional community of</w:t>
      </w:r>
      <w:r>
        <w:t xml:space="preserve"> </w:t>
      </w:r>
      <w:r>
        <w:rPr>
          <w:bCs/>
          <w:b/>
        </w:rPr>
        <w:t xml:space="preserve">Malaysia Kuala Lumpur</w:t>
      </w:r>
      <w:r>
        <w:t xml:space="preserve">.</w:t>
      </w:r>
    </w:p>
    <w:bookmarkEnd w:id="23"/>
    <w:bookmarkStart w:id="24" w:name="X7a6d21d3a2149e43a6433735d4e29a158e9a9a4"/>
    <w:p>
      <w:pPr>
        <w:pStyle w:val="Heading3"/>
      </w:pPr>
      <w:r>
        <w:t xml:space="preserve">2.3 Cultural Intelligence and Multilingual Proficiency</w:t>
      </w:r>
    </w:p>
    <w:p>
      <w:pPr>
        <w:pStyle w:val="FirstParagraph"/>
      </w:pPr>
      <w:r>
        <w:t xml:space="preserve">The demographic fabric of</w:t>
      </w:r>
      <w:r>
        <w:t xml:space="preserve"> </w:t>
      </w:r>
      <w:r>
        <w:rPr>
          <w:bCs/>
          <w:b/>
        </w:rPr>
        <w:t xml:space="preserve">Malaysia Kuala Lumpur</w:t>
      </w:r>
      <w:r>
        <w:br/>
      </w:r>
      <w:r>
        <w:t xml:space="preserve">is diverse, comprising Malay, Chinese, Indian, and expatriate communities. A successful Banker must demonstrate high cultural intelligence (CQ). This involves understanding the nuances of Islamic Finance for Muslim clients—such as Shariah-compliant investment products—and offering tailored advice that respects local customs and religious beliefs. Multilingual capabilities in English, Bahasa Malaysia, Mandarin, and Tamil are often prerequisites for effective client engagement in this region.</w:t>
      </w:r>
    </w:p>
    <w:bookmarkEnd w:id="24"/>
    <w:bookmarkEnd w:id="25"/>
    <w:bookmarkStart w:id="26" w:name="key-challenges-faced-by-bankers"/>
    <w:p>
      <w:pPr>
        <w:pStyle w:val="Heading2"/>
      </w:pPr>
      <w:r>
        <w:t xml:space="preserve">4. Key Challenges Faced by Bankers</w:t>
      </w:r>
    </w:p>
    <w:p>
      <w:pPr>
        <w:numPr>
          <w:ilvl w:val="0"/>
          <w:numId w:val="1001"/>
        </w:numPr>
        <w:pStyle w:val="Compact"/>
      </w:pPr>
      <w:r>
        <w:rPr>
          <w:bCs/>
          <w:b/>
        </w:rPr>
        <w:t xml:space="preserve">Digital Disruption:</w:t>
      </w:r>
      <w:r>
        <w:t xml:space="preserve">The rise of neobanks and digital-only wallets has reduced the footfall in physical branches. Bankers must pivot to relationship-based sales rather than product-push strategies.</w:t>
      </w:r>
    </w:p>
    <w:p>
      <w:pPr>
        <w:numPr>
          <w:ilvl w:val="0"/>
          <w:numId w:val="1001"/>
        </w:numPr>
        <w:pStyle w:val="Compact"/>
      </w:pPr>
      <w:r>
        <w:rPr>
          <w:bCs/>
          <w:b/>
        </w:rPr>
        <w:t xml:space="preserve">Cybersecurity Threats:</w:t>
      </w:r>
      <w:r>
        <w:t xml:space="preserve">As banking becomes increasingly digital, the risk of cyber fraud escalates. Bankers are often on the front line, educating clients about phishing attempts and secure transaction practices.</w:t>
      </w:r>
    </w:p>
    <w:p>
      <w:pPr>
        <w:numPr>
          <w:ilvl w:val="0"/>
          <w:numId w:val="1001"/>
        </w:numPr>
        <w:pStyle w:val="Compact"/>
      </w:pPr>
      <w:r>
        <w:rPr>
          <w:bCs/>
          <w:b/>
        </w:rPr>
        <w:t xml:space="preserve">Economic Volatility:</w:t>
      </w:r>
      <w:r>
        <w:t xml:space="preserve">The global economic climate impacts emerging markets like</w:t>
      </w:r>
      <w:r>
        <w:t xml:space="preserve"> </w:t>
      </w:r>
      <w:r>
        <w:rPr>
          <w:bCs/>
          <w:b/>
        </w:rPr>
        <w:t xml:space="preserve">Malaysia Kuala Lumpur</w:t>
      </w:r>
      <w:r>
        <w:t xml:space="preserve">. Bankers must provide resilient financial planning advice that accounts for currency fluctuations, inflation, and geopolitical tensions.</w:t>
      </w:r>
    </w:p>
    <w:bookmarkEnd w:id="26"/>
    <w:bookmarkStart w:id="27" w:name="opportunities-in-the-malaysian-market"/>
    <w:p>
      <w:pPr>
        <w:pStyle w:val="Heading2"/>
      </w:pPr>
      <w:r>
        <w:t xml:space="preserve">5. Opportunities in the Malaysian Market</w:t>
      </w:r>
    </w:p>
    <w:p>
      <w:pPr>
        <w:pStyle w:val="FirstParagraph"/>
      </w:pPr>
      <w:r>
        <w:rPr>
          <w:bCs/>
          <w:b/>
        </w:rPr>
        <w:t xml:space="preserve">The Green Finance Initiative:</w:t>
      </w:r>
      <w:r>
        <w:br/>
      </w:r>
      <w:r>
        <w:rPr>
          <w:bCs/>
          <w:b/>
        </w:rPr>
        <w:t xml:space="preserve">Malaysia Kuala Lumpur</w:t>
      </w:r>
      <w:r>
        <w:br/>
      </w:r>
      <w:r>
        <w:t xml:space="preserve">is positioning itself as a regional hub for Green and Sustainable Finance. Bankers have a unique opportunity to lead clients toward ESG (Environmental, Social, and Governance) compliant investments. This aligns with national goals to reduce carbon emissions and promotes sustainable economic growth.</w:t>
      </w:r>
    </w:p>
    <w:p>
      <w:pPr>
        <w:pStyle w:val="BodyText"/>
      </w:pPr>
      <w:r>
        <w:rPr>
          <w:bCs/>
          <w:b/>
        </w:rPr>
        <w:t xml:space="preserve">Wealth Management for HNWIs:</w:t>
      </w:r>
      <w:r>
        <w:br/>
      </w:r>
      <w:r>
        <w:t xml:space="preserve">With the growing prosperity in</w:t>
      </w:r>
      <w:r>
        <w:t xml:space="preserve"> </w:t>
      </w:r>
      <w:r>
        <w:rPr>
          <w:bCs/>
          <w:b/>
        </w:rPr>
        <w:t xml:space="preserve">Malaysia Kuala Lumpur</w:t>
      </w:r>
      <w:r>
        <w:t xml:space="preserve">, there is an increasing number of High-Net-Worth Individuals (HNWIs) seeking sophisticated wealth preservation and succession planning. Bankers who specialize in private banking and family office services are in high demand.</w:t>
      </w:r>
    </w:p>
    <w:bookmarkEnd w:id="27"/>
    <w:bookmarkStart w:id="28" w:name="X30aa338fe2653e2e5eb86c004688cf500fb20af"/>
    <w:p>
      <w:pPr>
        <w:pStyle w:val="Heading2"/>
      </w:pPr>
      <w:r>
        <w:t xml:space="preserve">6. Case Example: Transformation of a Retail Banker</w:t>
      </w:r>
    </w:p>
    <w:p>
      <w:pPr>
        <w:pStyle w:val="FirstParagraph"/>
      </w:pPr>
      <w:r>
        <w:rPr>
          <w:bCs/>
          <w:b/>
        </w:rPr>
        <w:t xml:space="preserve">Profile:</w:t>
      </w:r>
      <w:r>
        <w:t xml:space="preserve"> </w:t>
      </w:r>
      <w:r>
        <w:t xml:space="preserve">Mr. Raj, a Senior Relationship Manager based in the Bukit Bintang district of</w:t>
      </w:r>
      <w:r>
        <w:t xml:space="preserve"> </w:t>
      </w:r>
      <w:r>
        <w:rPr>
          <w:bCs/>
          <w:b/>
        </w:rPr>
        <w:t xml:space="preserve">Malaysia Kuala Lumpur</w:t>
      </w:r>
      <w:r>
        <w:t xml:space="preserve">.</w:t>
      </w:r>
    </w:p>
    <w:p>
      <w:pPr>
        <w:pStyle w:val="BodyText"/>
      </w:pPr>
      <w:r>
        <w:t xml:space="preserve">The Challenge:Raj struggled with declining branch visits and low engagement from younger clients who preferred digital interactions.</w:t>
      </w:r>
    </w:p>
    <w:p>
      <w:pPr>
        <w:pStyle w:val="BodyText"/>
      </w:pPr>
      <w:r>
        <w:t xml:space="preserve">The Strategy:Raj upskilled in data analytics to better understand client spending patterns. He began using CRM tools to send personalized, non-intrusive financial tips via WhatsApp and email. He also partnered with local fintech firms to offer integrated loan solutions.</w:t>
      </w:r>
    </w:p>
    <w:p>
      <w:pPr>
        <w:pStyle w:val="BodyText"/>
      </w:pPr>
      <w:r>
        <w:t xml:space="preserve">The Outcome:Within one year, Raj’s client retention rate increased by 25%, and his cross-selling ratio improved significantly. By embracing the digital shift while maintaining a human touch, Raj exemplified the new breed of Banker in</w:t>
      </w:r>
      <w:r>
        <w:t xml:space="preserve"> </w:t>
      </w:r>
      <w:r>
        <w:rPr>
          <w:bCs/>
          <w:b/>
        </w:rPr>
        <w:t xml:space="preserve">Malaysia Kuala Lumpur</w:t>
      </w:r>
      <w:r>
        <w:t xml:space="preserve">.</w:t>
      </w:r>
    </w:p>
    <w:bookmarkEnd w:id="28"/>
    <w:bookmarkStart w:id="29" w:name="conclusion"/>
    <w:p>
      <w:pPr>
        <w:pStyle w:val="Heading2"/>
      </w:pPr>
      <w:r>
        <w:t xml:space="preserve">7. Conclusion</w:t>
      </w:r>
    </w:p>
    <w:p>
      <w:pPr>
        <w:pStyle w:val="FirstParagraph"/>
      </w:pPr>
      <w:r>
        <w:t xml:space="preserve">The case of the modern Banker in</w:t>
      </w:r>
      <w:r>
        <w:t xml:space="preserve"> </w:t>
      </w:r>
      <w:r>
        <w:rPr>
          <w:bCs/>
          <w:b/>
        </w:rPr>
        <w:t xml:space="preserve">Malaysia Kuala Lumpur</w:t>
      </w:r>
      <w:r>
        <w:br/>
      </w:r>
      <w:r>
        <w:t xml:space="preserve">illustrates a critical paradigm shift. The role has evolved from administrative processing to strategic advisory, requiring a blend of technological prowess, regulatory knowledge, and cultural sensitivity. As financial services continue to digitize and globalize, Bankers who can navigate the complexities of the</w:t>
      </w:r>
      <w:r>
        <w:t xml:space="preserve"> </w:t>
      </w:r>
      <w:r>
        <w:rPr>
          <w:bCs/>
          <w:b/>
        </w:rPr>
        <w:t xml:space="preserve">Malaysia Kuala Lumpur</w:t>
      </w:r>
      <w:r>
        <w:t xml:space="preserve"> </w:t>
      </w:r>
      <w:r>
        <w:t xml:space="preserve">market will be invaluable assets.</w:t>
      </w:r>
    </w:p>
    <w:p>
      <w:pPr>
        <w:pStyle w:val="BodyText"/>
      </w:pPr>
      <w:r>
        <w:t xml:space="preserve">To succeed in this environment, aspiring and current Bankers must commit to lifelong learning. They must view technology not as a threat, but as an enabler of deeper client relationships. The future of banking in</w:t>
      </w:r>
      <w:r>
        <w:t xml:space="preserve"> </w:t>
      </w:r>
      <w:r>
        <w:rPr>
          <w:bCs/>
          <w:b/>
        </w:rPr>
        <w:t xml:space="preserve">Malaysia Kuala Lumpur</w:t>
      </w:r>
      <w:r>
        <w:br/>
      </w:r>
      <w:r>
        <w:t xml:space="preserve">lies in the synergy between human empathy and digital efficiency.</w:t>
      </w:r>
    </w:p>
    <w:p>
      <w:r>
        <w:pict>
          <v:rect style="width:0;height:1.5pt" o:hralign="center" o:hrstd="t" o:hr="t"/>
        </w:pict>
      </w:r>
    </w:p>
    <w:p>
      <w:pPr>
        <w:pStyle w:val="FirstParagraph"/>
      </w:pPr>
      <w:r>
        <w:t xml:space="preserve">© 2023 Financial Case Studies International. All rights reserved.</w:t>
      </w:r>
      <w:r>
        <w:br/>
      </w:r>
      <w:r>
        <w:t xml:space="preserve">This document is for educational purposes only and does not constitute financial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Malaysia Kuala Lumpur</dc:title>
  <dc:creator/>
  <dc:language>en</dc:language>
  <cp:keywords/>
  <dcterms:created xsi:type="dcterms:W3CDTF">2026-07-29T07:41:37Z</dcterms:created>
  <dcterms:modified xsi:type="dcterms:W3CDTF">2026-07-29T07:41:37Z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