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of</w:t>
      </w:r>
      <w:r>
        <w:t xml:space="preserve"> </w:t>
      </w:r>
      <w:r>
        <w:t xml:space="preserve">Banking</w:t>
      </w:r>
      <w:r>
        <w:t xml:space="preserve"> </w:t>
      </w:r>
      <w:r>
        <w:t xml:space="preserve">Services</w:t>
      </w:r>
      <w:r>
        <w:t xml:space="preserve"> </w:t>
      </w:r>
      <w:r>
        <w:t xml:space="preserve">in</w:t>
      </w:r>
      <w:r>
        <w:t xml:space="preserve"> </w:t>
      </w:r>
      <w:r>
        <w:t xml:space="preserve">Myanmar</w:t>
      </w:r>
      <w:r>
        <w:t xml:space="preserve"> </w:t>
      </w:r>
      <w:r>
        <w:t xml:space="preserve">Yangon</w:t>
      </w:r>
    </w:p>
    <w:bookmarkStart w:id="32" w:name="X7555fa37c5af4011167cbaa49e25e0f0df220bc"/>
    <w:p>
      <w:pPr>
        <w:pStyle w:val="Heading1"/>
      </w:pPr>
      <w:r>
        <w:t xml:space="preserve">Case Study: Modernizing the</w:t>
      </w:r>
      <w:r>
        <w:t xml:space="preserve"> </w:t>
      </w:r>
      <w:r>
        <w:t xml:space="preserve">Banker</w:t>
      </w:r>
      <w:r>
        <w:t xml:space="preserve"> </w:t>
      </w:r>
      <w:r>
        <w:t xml:space="preserve">Experience in Myanmar Yangon</w:t>
      </w:r>
    </w:p>
    <w:bookmarkStart w:id="31" w:name="Xd1e367341b302fcb60011abec306ac4eb3bdb69"/>
    <w:p>
      <w:pPr>
        <w:pStyle w:val="Heading2"/>
      </w:pPr>
      <w:r>
        <w:t xml:space="preserve">Date: October 2023 | Region: Southeast Asia | Focus Market:</w:t>
      </w:r>
      <w:r>
        <w:t xml:space="preserve"> </w:t>
      </w:r>
      <w:r>
        <w:t xml:space="preserve">Myanmar Yangon</w:t>
      </w:r>
    </w:p>
    <w:bookmarkStart w:id="20" w:name="executive-summary"/>
    <w:p>
      <w:pPr>
        <w:pStyle w:val="Heading3"/>
      </w:pPr>
      <w:r>
        <w:t xml:space="preserve">Executive Summary</w:t>
      </w:r>
    </w:p>
    <w:p>
      <w:pPr>
        <w:pStyle w:val="FirstParagraph"/>
      </w:pPr>
      <w:r>
        <w:t xml:space="preserve">This</w:t>
      </w:r>
      <w:r>
        <w:t xml:space="preserve"> </w:t>
      </w:r>
      <w:hyperlink w:anchor="case-study-doc">
        <w:r>
          <w:rPr>
            <w:rStyle w:val="Hyperlink"/>
            <w:bCs/>
            <w:b/>
          </w:rPr>
          <w:t xml:space="preserve">Case Study</w:t>
        </w:r>
      </w:hyperlink>
      <w:r>
        <w:t xml:space="preserve"> </w:t>
      </w:r>
      <w:r>
        <w:t xml:space="preserve">examines the rapid evolution of financial infrastructure within Myanmar, specifically focusing on the capital city of</w:t>
      </w:r>
      <w:r>
        <w:t xml:space="preserve"> </w:t>
      </w:r>
      <w:hyperlink w:anchor="yangon-focus">
        <w:r>
          <w:rPr>
            <w:rStyle w:val="Hyperlink"/>
            <w:bCs/>
            <w:b/>
          </w:rPr>
          <w:t xml:space="preserve">Yangon</w:t>
        </w:r>
      </w:hyperlink>
      <w:r>
        <w:t xml:space="preserve">. The document analyzes how traditional banking models are being disrupted by digital innovation, regulatory changes, and shifting consumer behaviors. Central to this narrative is the transformation of the modern</w:t>
      </w:r>
      <w:r>
        <w:t xml:space="preserve"> </w:t>
      </w:r>
      <w:hyperlink w:anchor="banker-role">
        <w:r>
          <w:rPr>
            <w:rStyle w:val="Hyperlink"/>
            <w:bCs/>
            <w:b/>
          </w:rPr>
          <w:t xml:space="preserve">Banker</w:t>
        </w:r>
      </w:hyperlink>
      <w:r>
        <w:t xml:space="preserve">—who must now act as both a financial advisor and a technology facilitator—to meet the demands of an increasingly connected yet economically volatile population.</w:t>
      </w:r>
    </w:p>
    <w:bookmarkEnd w:id="20"/>
    <w:bookmarkStart w:id="21" w:name="case-study-doc"/>
    <w:p>
      <w:pPr>
        <w:pStyle w:val="Heading3"/>
      </w:pPr>
      <w:r>
        <w:t xml:space="preserve">1. Introduction to the Case Study Context</w:t>
      </w:r>
    </w:p>
    <w:p>
      <w:pPr>
        <w:pStyle w:val="FirstParagraph"/>
      </w:pPr>
      <w:r>
        <w:t xml:space="preserve">The financial landscape in Southeast Asia is undergoing a significant paradigm shift, with mobile money and digital banking solutions leading the charge. This</w:t>
      </w:r>
      <w:r>
        <w:t xml:space="preserve"> </w:t>
      </w:r>
      <w:hyperlink w:anchor="case-study-doc">
        <w:r>
          <w:rPr>
            <w:rStyle w:val="Hyperlink"/>
            <w:bCs/>
            <w:b/>
          </w:rPr>
          <w:t xml:space="preserve">Case Study</w:t>
        </w:r>
      </w:hyperlink>
      <w:r>
        <w:t xml:space="preserve"> </w:t>
      </w:r>
      <w:r>
        <w:t xml:space="preserve">aims to dissect the unique challenges and opportunities present in one of the region’s most dynamic markets: Myanmar. While rural areas have seen varying degrees of adoption for digital financial services, the urban center of</w:t>
      </w:r>
      <w:r>
        <w:t xml:space="preserve"> </w:t>
      </w:r>
      <w:hyperlink w:anchor="yangon-focus">
        <w:r>
          <w:rPr>
            <w:rStyle w:val="Hyperlink"/>
            <w:bCs/>
            <w:b/>
          </w:rPr>
          <w:t xml:space="preserve">Yangon</w:t>
        </w:r>
      </w:hyperlink>
      <w:r>
        <w:t xml:space="preserve"> </w:t>
      </w:r>
      <w:r>
        <w:t xml:space="preserve">serves as the primary testing ground for high-frequency transactions, SME (Small and Medium Enterprise) financing, and cross-border remittances.</w:t>
      </w:r>
    </w:p>
    <w:p>
      <w:pPr>
        <w:pStyle w:val="BodyText"/>
      </w:pPr>
      <w:r>
        <w:t xml:space="preserve">The core objective of this document is to evaluate how local and international banks operating in</w:t>
      </w:r>
      <w:r>
        <w:t xml:space="preserve"> </w:t>
      </w:r>
      <w:hyperlink w:anchor="yangon-focus">
        <w:r>
          <w:rPr>
            <w:rStyle w:val="Hyperlink"/>
            <w:bCs/>
            <w:b/>
          </w:rPr>
          <w:t xml:space="preserve">Yangon</w:t>
        </w:r>
      </w:hyperlink>
      <w:r>
        <w:t xml:space="preserve"> </w:t>
      </w:r>
      <w:r>
        <w:t xml:space="preserve">are adapting their operational frameworks. It highlights the pivotal role of the</w:t>
      </w:r>
      <w:r>
        <w:t xml:space="preserve"> </w:t>
      </w:r>
      <w:hyperlink w:anchor="banker-role">
        <w:r>
          <w:rPr>
            <w:rStyle w:val="Hyperlink"/>
            <w:bCs/>
            <w:b/>
          </w:rPr>
          <w:t xml:space="preserve">Banker</w:t>
        </w:r>
      </w:hyperlink>
      <w:r>
        <w:t xml:space="preserve"> </w:t>
      </w:r>
      <w:r>
        <w:t xml:space="preserve">who is no longer confined to a physical branch but is now embedded in digital ecosystems, customer service platforms, and community financial literacy programs.</w:t>
      </w:r>
    </w:p>
    <w:bookmarkEnd w:id="21"/>
    <w:bookmarkStart w:id="22" w:name="yangon-focus"/>
    <w:p>
      <w:pPr>
        <w:pStyle w:val="Heading3"/>
      </w:pPr>
      <w:r>
        <w:t xml:space="preserve">2. Market Overview: The Landscape of</w:t>
      </w:r>
      <w:r>
        <w:t xml:space="preserve"> </w:t>
      </w:r>
      <w:r>
        <w:t xml:space="preserve">Myanmar Yangon</w:t>
      </w:r>
    </w:p>
    <w:p>
      <w:pPr>
        <w:pStyle w:val="FirstParagraph"/>
      </w:pPr>
      <w:hyperlink w:anchor="yangon-focus">
        <w:r>
          <w:rPr>
            <w:rStyle w:val="Hyperlink"/>
            <w:bCs/>
            <w:b/>
          </w:rPr>
          <w:t xml:space="preserve">Yangon</w:t>
        </w:r>
      </w:hyperlink>
      <w:r>
        <w:t xml:space="preserve">, the former capital and largest city of Myanmar, remains the commercial heart of the nation. Despite macroeconomic fluctuations and regulatory shifts in recent years,</w:t>
      </w:r>
      <w:r>
        <w:t xml:space="preserve"> </w:t>
      </w:r>
      <w:hyperlink w:anchor="yangon-focus">
        <w:r>
          <w:rPr>
            <w:rStyle w:val="Hyperlink"/>
            <w:bCs/>
            <w:b/>
          </w:rPr>
          <w:t xml:space="preserve">Yangon</w:t>
        </w:r>
      </w:hyperlink>
      <w:r>
        <w:t xml:space="preserve"> </w:t>
      </w:r>
      <w:r>
        <w:t xml:space="preserve">continues to attract significant foreign direct investment (FDI) and hosts the headquarters of most major domestic banks. The demographic profile is youthful, with a median age under 30, creating a tech-savvy consumer base eager for convenient financial solutions.</w:t>
      </w:r>
    </w:p>
    <w:p>
      <w:pPr>
        <w:pStyle w:val="BodyText"/>
      </w:pPr>
      <w:r>
        <w:t xml:space="preserve">The infrastructure in</w:t>
      </w:r>
      <w:r>
        <w:t xml:space="preserve"> </w:t>
      </w:r>
      <w:hyperlink w:anchor="yangon-focus">
        <w:r>
          <w:rPr>
            <w:rStyle w:val="Hyperlink"/>
            <w:bCs/>
            <w:b/>
          </w:rPr>
          <w:t xml:space="preserve">Yangon</w:t>
        </w:r>
      </w:hyperlink>
      <w:r>
        <w:t xml:space="preserve"> </w:t>
      </w:r>
      <w:r>
        <w:t xml:space="preserve">has improved significantly over the last decade, with widespread internet penetration and smartphone adoption. However, challenges remain regarding physical banking accessibility in high-density areas and the need for trust-building in digital transactions. The competitive environment is fierce, involving traditional banks such as CB Bank, KBZ Bank, and AYA Bank, alongside emerging fintech startups offering peer-to-peer payment solutions.</w:t>
      </w:r>
    </w:p>
    <w:bookmarkEnd w:id="22"/>
    <w:bookmarkStart w:id="26" w:name="banker-role"/>
    <w:p>
      <w:pPr>
        <w:pStyle w:val="Heading3"/>
      </w:pPr>
      <w:r>
        <w:t xml:space="preserve">3. The Evolving Role of the</w:t>
      </w:r>
      <w:r>
        <w:t xml:space="preserve"> </w:t>
      </w:r>
      <w:r>
        <w:t xml:space="preserve">Banker</w:t>
      </w:r>
    </w:p>
    <w:p>
      <w:pPr>
        <w:pStyle w:val="FirstParagraph"/>
      </w:pPr>
      <w:r>
        <w:t xml:space="preserve">In this</w:t>
      </w:r>
      <w:r>
        <w:t xml:space="preserve"> </w:t>
      </w:r>
      <w:hyperlink w:anchor="case-study-doc">
        <w:r>
          <w:rPr>
            <w:rStyle w:val="Hyperlink"/>
            <w:bCs/>
            <w:b/>
          </w:rPr>
          <w:t xml:space="preserve">Case Study</w:t>
        </w:r>
      </w:hyperlink>
      <w:r>
        <w:t xml:space="preserve">, we define the modern</w:t>
      </w:r>
      <w:r>
        <w:t xml:space="preserve"> </w:t>
      </w:r>
      <w:hyperlink w:anchor="banker-role">
        <w:r>
          <w:rPr>
            <w:rStyle w:val="Hyperlink"/>
            <w:bCs/>
            <w:b/>
          </w:rPr>
          <w:t xml:space="preserve">Banker</w:t>
        </w:r>
      </w:hyperlink>
      <w:r>
        <w:t xml:space="preserve"> </w:t>
      </w:r>
      <w:r>
        <w:t xml:space="preserve">not merely as a custodian of assets, but as a holistic financial partner. In the context of</w:t>
      </w:r>
      <w:r>
        <w:t xml:space="preserve"> </w:t>
      </w:r>
      <w:hyperlink w:anchor="yangon-focus">
        <w:r>
          <w:rPr>
            <w:rStyle w:val="Hyperlink"/>
            <w:bCs/>
            <w:b/>
          </w:rPr>
          <w:t xml:space="preserve">Yangon</w:t>
        </w:r>
      </w:hyperlink>
      <w:r>
        <w:t xml:space="preserve">, this role has expanded due to several factors:</w:t>
      </w:r>
    </w:p>
    <w:bookmarkStart w:id="23" w:name="digital-first-customer-engagement"/>
    <w:p>
      <w:pPr>
        <w:pStyle w:val="Heading4"/>
      </w:pPr>
      <w:r>
        <w:t xml:space="preserve">3.1 Digital-First Customer Engagement</w:t>
      </w:r>
    </w:p>
    <w:p>
      <w:pPr>
        <w:pStyle w:val="FirstParagraph"/>
      </w:pPr>
      <w:r>
        <w:t xml:space="preserve">The traditional relationship between a customer and a</w:t>
      </w:r>
      <w:r>
        <w:t xml:space="preserve"> </w:t>
      </w:r>
      <w:hyperlink w:anchor="banker-role">
        <w:r>
          <w:rPr>
            <w:rStyle w:val="Hyperlink"/>
            <w:bCs/>
            <w:b/>
          </w:rPr>
          <w:t xml:space="preserve">Banker</w:t>
        </w:r>
      </w:hyperlink>
      <w:r>
        <w:t xml:space="preserve"> </w:t>
      </w:r>
      <w:r>
        <w:t xml:space="preserve">was often transactional and face-to-face. Today, in</w:t>
      </w:r>
      <w:r>
        <w:t xml:space="preserve"> </w:t>
      </w:r>
      <w:hyperlink w:anchor="yangon-focus">
        <w:r>
          <w:rPr>
            <w:rStyle w:val="Hyperlink"/>
            <w:bCs/>
            <w:b/>
          </w:rPr>
          <w:t xml:space="preserve">Yangon</w:t>
        </w:r>
      </w:hyperlink>
      <w:r>
        <w:t xml:space="preserve">, the</w:t>
      </w:r>
      <w:r>
        <w:t xml:space="preserve"> </w:t>
      </w:r>
      <w:hyperlink w:anchor="banker-role">
        <w:r>
          <w:rPr>
            <w:rStyle w:val="Hyperlink"/>
            <w:bCs/>
            <w:b/>
          </w:rPr>
          <w:t xml:space="preserve">Banker</w:t>
        </w:r>
      </w:hyperlink>
      <w:r>
        <w:t xml:space="preserve"> </w:t>
      </w:r>
      <w:r>
        <w:t xml:space="preserve">interacts with clients through mobile applications, chatbots, and online portals. This shift requires bank staff to possess strong digital literacy skills. They must be able to guide customers through app downloads, explain security protocols like Two-Factor Authentication (2FA), and troubleshoot login issues remotely.</w:t>
      </w:r>
    </w:p>
    <w:bookmarkEnd w:id="23"/>
    <w:bookmarkStart w:id="24" w:name="financial-inclusion-advocacy"/>
    <w:p>
      <w:pPr>
        <w:pStyle w:val="Heading4"/>
      </w:pPr>
      <w:r>
        <w:t xml:space="preserve">3.2 Financial Inclusion Advocacy</w:t>
      </w:r>
    </w:p>
    <w:p>
      <w:pPr>
        <w:pStyle w:val="FirstParagraph"/>
      </w:pPr>
      <w:r>
        <w:t xml:space="preserve">A significant portion of the population in</w:t>
      </w:r>
      <w:r>
        <w:t xml:space="preserve"> </w:t>
      </w:r>
      <w:hyperlink w:anchor="yangon-focus">
        <w:r>
          <w:rPr>
            <w:rStyle w:val="Hyperlink"/>
            <w:bCs/>
            <w:b/>
          </w:rPr>
          <w:t xml:space="preserve">Yangon</w:t>
        </w:r>
      </w:hyperlink>
      <w:r>
        <w:t xml:space="preserve">, particularly among lower-income groups, remains unbanked or under-banked. The modern</w:t>
      </w:r>
      <w:r>
        <w:t xml:space="preserve"> </w:t>
      </w:r>
      <w:hyperlink w:anchor="banker-role">
        <w:r>
          <w:rPr>
            <w:rStyle w:val="Hyperlink"/>
            <w:bCs/>
            <w:b/>
          </w:rPr>
          <w:t xml:space="preserve">Banker</w:t>
        </w:r>
      </w:hyperlink>
      <w:r>
        <w:t xml:space="preserve"> </w:t>
      </w:r>
      <w:r>
        <w:t xml:space="preserve">plays a crucial role in financial education. They are tasked with simplifying complex financial products—such as micro-loans for street vendors or savings accounts for students—into understandable terms. This educational aspect is vital for building trust in the formal banking sector versus informal lending practices.</w:t>
      </w:r>
    </w:p>
    <w:bookmarkEnd w:id="24"/>
    <w:bookmarkStart w:id="25" w:name="navigating-regulatory-compliance"/>
    <w:p>
      <w:pPr>
        <w:pStyle w:val="Heading4"/>
      </w:pPr>
      <w:r>
        <w:t xml:space="preserve">3.3 Navigating Regulatory Compliance</w:t>
      </w:r>
    </w:p>
    <w:p>
      <w:pPr>
        <w:pStyle w:val="FirstParagraph"/>
      </w:pPr>
      <w:r>
        <w:t xml:space="preserve">The regulatory environment in Myanmar has been dynamic. The</w:t>
      </w:r>
      <w:r>
        <w:t xml:space="preserve"> </w:t>
      </w:r>
      <w:hyperlink w:anchor="banker-role">
        <w:r>
          <w:rPr>
            <w:rStyle w:val="Hyperlink"/>
            <w:bCs/>
            <w:b/>
          </w:rPr>
          <w:t xml:space="preserve">Banker</w:t>
        </w:r>
      </w:hyperlink>
      <w:r>
        <w:t xml:space="preserve"> </w:t>
      </w:r>
      <w:r>
        <w:t xml:space="preserve">must stay abreast of Central Bank directives regarding foreign currency exchange, anti-money laundering (AML) protocols, and digital transaction limits. In</w:t>
      </w:r>
      <w:r>
        <w:t xml:space="preserve"> </w:t>
      </w:r>
      <w:hyperlink w:anchor="yangon-focus">
        <w:r>
          <w:rPr>
            <w:rStyle w:val="Hyperlink"/>
            <w:bCs/>
            <w:b/>
          </w:rPr>
          <w:t xml:space="preserve">Yangon</w:t>
        </w:r>
      </w:hyperlink>
      <w:r>
        <w:t xml:space="preserve">, where cross-border trade is prevalent,</w:t>
      </w:r>
      <w:r>
        <w:t xml:space="preserve"> </w:t>
      </w:r>
      <w:hyperlink w:anchor="banker-role">
        <w:r>
          <w:rPr>
            <w:rStyle w:val="Hyperlink"/>
            <w:bCs/>
            <w:b/>
          </w:rPr>
          <w:t xml:space="preserve">Bankers</w:t>
        </w:r>
      </w:hyperlink>
      <w:r>
        <w:t xml:space="preserve"> </w:t>
      </w:r>
      <w:r>
        <w:t xml:space="preserve">act as the first line of defense against compliance risks, ensuring that all transactions adhere to both local laws and international standards.</w:t>
      </w:r>
    </w:p>
    <w:bookmarkEnd w:id="25"/>
    <w:bookmarkEnd w:id="26"/>
    <w:bookmarkStart w:id="27" w:name="challenges"/>
    <w:p>
      <w:pPr>
        <w:pStyle w:val="Heading3"/>
      </w:pPr>
      <w:r>
        <w:t xml:space="preserve">4. Key Challenges Identified in the Case Study</w:t>
      </w:r>
    </w:p>
    <w:p>
      <w:pPr>
        <w:pStyle w:val="FirstParagraph"/>
      </w:pPr>
      <w:r>
        <w:t xml:space="preserve">This</w:t>
      </w:r>
      <w:r>
        <w:t xml:space="preserve"> </w:t>
      </w:r>
      <w:hyperlink w:anchor="case-study-doc">
        <w:r>
          <w:rPr>
            <w:rStyle w:val="Hyperlink"/>
            <w:bCs/>
            <w:b/>
          </w:rPr>
          <w:t xml:space="preserve">Case Study</w:t>
        </w:r>
      </w:hyperlink>
      <w:r>
        <w:t xml:space="preserve"> </w:t>
      </w:r>
      <w:r>
        <w:t xml:space="preserve">identifies three primary challenges facing banks in</w:t>
      </w:r>
      <w:r>
        <w:t xml:space="preserve"> </w:t>
      </w:r>
      <w:hyperlink w:anchor="yangon-focus">
        <w:r>
          <w:rPr>
            <w:rStyle w:val="Hyperlink"/>
            <w:bCs/>
            <w:b/>
          </w:rPr>
          <w:t xml:space="preserve">Yangon</w:t>
        </w:r>
      </w:hyperlink>
      <w:r>
        <w:t xml:space="preserve">:</w:t>
      </w:r>
    </w:p>
    <w:p>
      <w:pPr>
        <w:numPr>
          <w:ilvl w:val="0"/>
          <w:numId w:val="1001"/>
        </w:numPr>
        <w:pStyle w:val="Compact"/>
      </w:pPr>
      <w:r>
        <w:rPr>
          <w:bCs/>
          <w:b/>
        </w:rPr>
        <w:t xml:space="preserve">Cybersecurity Threats:</w:t>
      </w:r>
      <w:r>
        <w:t xml:space="preserve"> </w:t>
      </w:r>
      <w:r>
        <w:t xml:space="preserve">As more customers in</w:t>
      </w:r>
      <w:r>
        <w:t xml:space="preserve"> </w:t>
      </w:r>
      <w:hyperlink w:anchor="yangon-focus">
        <w:r>
          <w:rPr>
            <w:rStyle w:val="Hyperlink"/>
            <w:bCs/>
            <w:b/>
          </w:rPr>
          <w:t xml:space="preserve">Yangon</w:t>
        </w:r>
      </w:hyperlink>
      <w:r>
        <w:t xml:space="preserve"> </w:t>
      </w:r>
      <w:r>
        <w:t xml:space="preserve">move online, the risk of phishing and fraud increases. The</w:t>
      </w:r>
      <w:r>
        <w:t xml:space="preserve"> </w:t>
      </w:r>
      <w:hyperlink w:anchor="banker-role">
        <w:r>
          <w:rPr>
            <w:rStyle w:val="Hyperlink"/>
            <w:bCs/>
            <w:b/>
          </w:rPr>
          <w:t xml:space="preserve">Banker</w:t>
        </w:r>
      </w:hyperlink>
      <w:r>
        <w:t xml:space="preserve"> </w:t>
      </w:r>
      <w:r>
        <w:t xml:space="preserve">must proactively educate clients on identifying suspicious activities.</w:t>
      </w:r>
    </w:p>
    <w:p>
      <w:pPr>
        <w:numPr>
          <w:ilvl w:val="0"/>
          <w:numId w:val="1001"/>
        </w:numPr>
        <w:pStyle w:val="Compact"/>
      </w:pPr>
      <w:r>
        <w:rPr>
          <w:bCs/>
          <w:b/>
        </w:rPr>
        <w:t xml:space="preserve">Digital Divide:</w:t>
      </w:r>
      <w:r>
        <w:t xml:space="preserve"> </w:t>
      </w:r>
      <w:r>
        <w:t xml:space="preserve">While internet access is growing in</w:t>
      </w:r>
      <w:r>
        <w:t xml:space="preserve"> </w:t>
      </w:r>
      <w:hyperlink w:anchor="yangon-focus">
        <w:r>
          <w:rPr>
            <w:rStyle w:val="Hyperlink"/>
            <w:bCs/>
            <w:b/>
          </w:rPr>
          <w:t xml:space="preserve">Yangon</w:t>
        </w:r>
      </w:hyperlink>
      <w:r>
        <w:t xml:space="preserve">, reliable connectivity is not guaranteed for all. Banks must offer hybrid solutions that combine digital convenience with accessible physical support.</w:t>
      </w:r>
    </w:p>
    <w:p>
      <w:pPr>
        <w:numPr>
          <w:ilvl w:val="0"/>
          <w:numId w:val="1001"/>
        </w:numPr>
        <w:pStyle w:val="Compact"/>
      </w:pPr>
      <w:r>
        <w:rPr>
          <w:bCs/>
          <w:b/>
        </w:rPr>
        <w:t xml:space="preserve">Economic Volatility:</w:t>
      </w:r>
      <w:r>
        <w:t xml:space="preserve"> </w:t>
      </w:r>
      <w:r>
        <w:t xml:space="preserve">Currency fluctuation affects loan repayments and savings value. The</w:t>
      </w:r>
      <w:r>
        <w:t xml:space="preserve"> </w:t>
      </w:r>
      <w:hyperlink w:anchor="banker-role">
        <w:r>
          <w:rPr>
            <w:rStyle w:val="Hyperlink"/>
            <w:bCs/>
            <w:b/>
          </w:rPr>
          <w:t xml:space="preserve">Banker</w:t>
        </w:r>
      </w:hyperlink>
      <w:r>
        <w:t xml:space="preserve"> </w:t>
      </w:r>
      <w:r>
        <w:t xml:space="preserve">is expected to provide advisory services on currency hedging and diversified savings, adding a layer of complexity to their daily operations.</w:t>
      </w:r>
    </w:p>
    <w:bookmarkEnd w:id="27"/>
    <w:bookmarkStart w:id="28" w:name="strategies"/>
    <w:p>
      <w:pPr>
        <w:pStyle w:val="Heading3"/>
      </w:pPr>
      <w:r>
        <w:t xml:space="preserve">5. Strategic Responses and Innovations</w:t>
      </w:r>
    </w:p>
    <w:p>
      <w:pPr>
        <w:pStyle w:val="FirstParagraph"/>
      </w:pPr>
      <w:r>
        <w:t xml:space="preserve">In response to these challenges, leading institutions in</w:t>
      </w:r>
      <w:r>
        <w:t xml:space="preserve"> </w:t>
      </w:r>
      <w:hyperlink w:anchor="yangon-focus">
        <w:r>
          <w:rPr>
            <w:rStyle w:val="Hyperlink"/>
            <w:bCs/>
            <w:b/>
          </w:rPr>
          <w:t xml:space="preserve">Yangon</w:t>
        </w:r>
      </w:hyperlink>
      <w:r>
        <w:t xml:space="preserve"> </w:t>
      </w:r>
      <w:r>
        <w:t xml:space="preserve">have adopted innovative strategies. This</w:t>
      </w:r>
      <w:r>
        <w:t xml:space="preserve"> </w:t>
      </w:r>
      <w:hyperlink w:anchor="case-study-doc">
        <w:r>
          <w:rPr>
            <w:rStyle w:val="Hyperlink"/>
            <w:bCs/>
            <w:b/>
          </w:rPr>
          <w:t xml:space="preserve">Case Study</w:t>
        </w:r>
      </w:hyperlink>
      <w:r>
        <w:t xml:space="preserve"> </w:t>
      </w:r>
      <w:r>
        <w:t xml:space="preserve">highlights several key initiatives:</w:t>
      </w:r>
    </w:p>
    <w:p>
      <w:pPr>
        <w:numPr>
          <w:ilvl w:val="0"/>
          <w:numId w:val="1002"/>
        </w:numPr>
        <w:pStyle w:val="Compact"/>
      </w:pPr>
      <w:r>
        <w:rPr>
          <w:bCs/>
          <w:b/>
        </w:rPr>
        <w:t xml:space="preserve">Beyond Bank Branches:</w:t>
      </w:r>
      <w:r>
        <w:t xml:space="preserve"> </w:t>
      </w:r>
      <w:r>
        <w:t xml:space="preserve">Banks are deploying agents in convenience stores and pharmacies to facilitate cash-in/cash-out services, extending the reach of the</w:t>
      </w:r>
      <w:r>
        <w:t xml:space="preserve"> </w:t>
      </w:r>
      <w:hyperlink w:anchor="banker-role">
        <w:r>
          <w:rPr>
            <w:rStyle w:val="Hyperlink"/>
            <w:bCs/>
            <w:b/>
          </w:rPr>
          <w:t xml:space="preserve">Banker</w:t>
        </w:r>
      </w:hyperlink>
      <w:r>
        <w:t xml:space="preserve"> </w:t>
      </w:r>
      <w:r>
        <w:t xml:space="preserve">beyond traditional walls.</w:t>
      </w:r>
    </w:p>
    <w:p>
      <w:pPr>
        <w:numPr>
          <w:ilvl w:val="0"/>
          <w:numId w:val="1002"/>
        </w:numPr>
        <w:pStyle w:val="Compact"/>
      </w:pPr>
      <w:r>
        <w:rPr>
          <w:bCs/>
          <w:b/>
        </w:rPr>
        <w:t xml:space="preserve">Data-Driven Personalization:</w:t>
      </w:r>
      <w:r>
        <w:t xml:space="preserve"> </w:t>
      </w:r>
      <w:r>
        <w:t xml:space="preserve">Using AI tools, banks can analyze spending patterns of customers in</w:t>
      </w:r>
      <w:r>
        <w:t xml:space="preserve"> </w:t>
      </w:r>
      <w:hyperlink w:anchor="yangon-focus">
        <w:r>
          <w:rPr>
            <w:rStyle w:val="Hyperlink"/>
            <w:bCs/>
            <w:b/>
          </w:rPr>
          <w:t xml:space="preserve">Yangon</w:t>
        </w:r>
      </w:hyperlink>
      <w:r>
        <w:t xml:space="preserve"> </w:t>
      </w:r>
      <w:r>
        <w:t xml:space="preserve">to offer personalized loan products. The</w:t>
      </w:r>
      <w:r>
        <w:t xml:space="preserve"> </w:t>
      </w:r>
      <w:hyperlink w:anchor="banker-role">
        <w:r>
          <w:rPr>
            <w:rStyle w:val="Hyperlink"/>
            <w:bCs/>
            <w:b/>
          </w:rPr>
          <w:t xml:space="preserve">Banker</w:t>
        </w:r>
      </w:hyperlink>
      <w:r>
        <w:t xml:space="preserve"> </w:t>
      </w:r>
      <w:r>
        <w:t xml:space="preserve">uses these insights to approach clients with relevant offers at the right time.</w:t>
      </w:r>
    </w:p>
    <w:p>
      <w:pPr>
        <w:numPr>
          <w:ilvl w:val="0"/>
          <w:numId w:val="1002"/>
        </w:numPr>
        <w:pStyle w:val="Compact"/>
      </w:pPr>
      <w:r>
        <w:rPr>
          <w:bCs/>
          <w:b/>
        </w:rPr>
        <w:t xml:space="preserve">Partnerships with Fintechs:</w:t>
      </w:r>
      <w:r>
        <w:t xml:space="preserve"> </w:t>
      </w:r>
      <w:r>
        <w:t xml:space="preserve">Collaboration with local fintech companies allows traditional banks to leverage advanced technology without building it from scratch. This partnership model empowers the</w:t>
      </w:r>
      <w:r>
        <w:t xml:space="preserve"> </w:t>
      </w:r>
      <w:hyperlink w:anchor="banker-role">
        <w:r>
          <w:rPr>
            <w:rStyle w:val="Hyperlink"/>
            <w:bCs/>
            <w:b/>
          </w:rPr>
          <w:t xml:space="preserve">Banker</w:t>
        </w:r>
      </w:hyperlink>
      <w:r>
        <w:t xml:space="preserve"> </w:t>
      </w:r>
      <w:r>
        <w:t xml:space="preserve">to offer a wider range of services, including instant remittances and digital wallets.</w:t>
      </w:r>
    </w:p>
    <w:bookmarkEnd w:id="28"/>
    <w:bookmarkStart w:id="29" w:name="conclusion"/>
    <w:p>
      <w:pPr>
        <w:pStyle w:val="Heading3"/>
      </w:pPr>
      <w:r>
        <w:t xml:space="preserve">6. Conclusion</w:t>
      </w:r>
    </w:p>
    <w:p>
      <w:pPr>
        <w:pStyle w:val="FirstParagraph"/>
      </w:pPr>
      <w:r>
        <w:t xml:space="preserve">This</w:t>
      </w:r>
      <w:r>
        <w:t xml:space="preserve"> </w:t>
      </w:r>
      <w:hyperlink w:anchor="case-study-doc">
        <w:r>
          <w:rPr>
            <w:rStyle w:val="Hyperlink"/>
            <w:bCs/>
            <w:b/>
          </w:rPr>
          <w:t xml:space="preserve">Case Study</w:t>
        </w:r>
      </w:hyperlink>
      <w:r>
        <w:t xml:space="preserve"> </w:t>
      </w:r>
      <w:r>
        <w:t xml:space="preserve">demonstrates that the banking sector in</w:t>
      </w:r>
      <w:r>
        <w:t xml:space="preserve"> </w:t>
      </w:r>
      <w:hyperlink w:anchor="yangon-focus">
        <w:r>
          <w:rPr>
            <w:rStyle w:val="Hyperlink"/>
            <w:bCs/>
            <w:b/>
          </w:rPr>
          <w:t xml:space="preserve">Yangon</w:t>
        </w:r>
      </w:hyperlink>
      <w:r>
        <w:t xml:space="preserve"> </w:t>
      </w:r>
      <w:r>
        <w:t xml:space="preserve">is at a critical juncture. The convergence of digital technology and traditional finance has redefined the customer journey. For banks to succeed, they must empower their staff to become modern</w:t>
      </w:r>
      <w:r>
        <w:t xml:space="preserve"> </w:t>
      </w:r>
      <w:hyperlink w:anchor="banker-role">
        <w:r>
          <w:rPr>
            <w:rStyle w:val="Hyperlink"/>
            <w:bCs/>
            <w:b/>
          </w:rPr>
          <w:t xml:space="preserve">Bankers</w:t>
        </w:r>
      </w:hyperlink>
      <w:r>
        <w:t xml:space="preserve">—capable of navigating complex regulatory environments, fostering financial literacy, and leveraging data for personalized service.</w:t>
      </w:r>
    </w:p>
    <w:p>
      <w:pPr>
        <w:pStyle w:val="BodyText"/>
      </w:pPr>
      <w:r>
        <w:t xml:space="preserve">The future of banking in</w:t>
      </w:r>
      <w:r>
        <w:t xml:space="preserve"> </w:t>
      </w:r>
      <w:hyperlink w:anchor="yangon-focus">
        <w:r>
          <w:rPr>
            <w:rStyle w:val="Hyperlink"/>
            <w:bCs/>
            <w:b/>
          </w:rPr>
          <w:t xml:space="preserve">Yangon</w:t>
        </w:r>
      </w:hyperlink>
      <w:r>
        <w:t xml:space="preserve"> </w:t>
      </w:r>
      <w:r>
        <w:t xml:space="preserve">lies in the symbiotic relationship between robust digital infrastructure and human-centric service. As the market continues to evolve, the</w:t>
      </w:r>
      <w:r>
        <w:t xml:space="preserve"> </w:t>
      </w:r>
      <w:hyperlink w:anchor="banker-role">
        <w:r>
          <w:rPr>
            <w:rStyle w:val="Hyperlink"/>
            <w:bCs/>
            <w:b/>
          </w:rPr>
          <w:t xml:space="preserve">Banker</w:t>
        </w:r>
      </w:hyperlink>
      <w:r>
        <w:t xml:space="preserve"> </w:t>
      </w:r>
      <w:r>
        <w:t xml:space="preserve">will remain the cornerstone of trust and stability, guiding individuals and businesses through both opportunities and challenges in this vibrant economic hub.</w:t>
      </w:r>
    </w:p>
    <w:bookmarkEnd w:id="29"/>
    <w:bookmarkStart w:id="30" w:name="recommendations"/>
    <w:p>
      <w:pPr>
        <w:pStyle w:val="Heading3"/>
      </w:pPr>
      <w:r>
        <w:t xml:space="preserve">7. Recommendations for Stakeholders</w:t>
      </w:r>
    </w:p>
    <w:p>
      <w:pPr>
        <w:numPr>
          <w:ilvl w:val="0"/>
          <w:numId w:val="1003"/>
        </w:numPr>
        <w:pStyle w:val="Compact"/>
      </w:pPr>
      <w:r>
        <w:rPr>
          <w:bCs/>
          <w:b/>
        </w:rPr>
        <w:t xml:space="preserve">Banks:</w:t>
      </w:r>
      <w:r>
        <w:t xml:space="preserve"> </w:t>
      </w:r>
      <w:r>
        <w:t xml:space="preserve">Invest heavily in continuous training programs for staff to enhance digital literacy and customer empathy.</w:t>
      </w:r>
    </w:p>
    <w:p>
      <w:pPr>
        <w:numPr>
          <w:ilvl w:val="0"/>
          <w:numId w:val="1003"/>
        </w:numPr>
        <w:pStyle w:val="Compact"/>
      </w:pPr>
      <w:r>
        <w:rPr>
          <w:bCs/>
          <w:b/>
        </w:rPr>
        <w:t xml:space="preserve">Policymakers:</w:t>
      </w:r>
      <w:hyperlink w:anchor="yangon-focus">
        <w:r>
          <w:rPr>
            <w:rStyle w:val="Hyperlink"/>
            <w:bCs/>
            <w:b/>
          </w:rPr>
          <w:t xml:space="preserve">Yangon</w:t>
        </w:r>
      </w:hyperlink>
      <w:r>
        <w:t xml:space="preserve">.</w:t>
      </w:r>
    </w:p>
    <w:p>
      <w:pPr>
        <w:numPr>
          <w:ilvl w:val="0"/>
          <w:numId w:val="1003"/>
        </w:numPr>
        <w:pStyle w:val="Compact"/>
      </w:pPr>
      <w:r>
        <w:rPr>
          <w:bCs/>
          <w:b/>
        </w:rPr>
        <w:t xml:space="preserve">Tech Providers:</w:t>
      </w:r>
      <w:r>
        <w:t xml:space="preserve"> </w:t>
      </w:r>
      <w:r>
        <w:t xml:space="preserve">Develop user-friendly interfaces tailored to the local language and cultural context of Myanmar.</w:t>
      </w:r>
    </w:p>
    <w:p>
      <w:r>
        <w:pict>
          <v:rect style="width:0;height:1.5pt" o:hralign="center" o:hrstd="t" o:hr="t"/>
        </w:pict>
      </w:r>
    </w:p>
    <w:p>
      <w:pPr>
        <w:pStyle w:val="FirstParagraph"/>
      </w:pPr>
      <w:r>
        <w:rPr>
          <w:iCs/>
          <w:i/>
        </w:rPr>
        <w:t xml:space="preserve">This document is a fictionalized case study created for educational and illustrative purposes regarding banking trends in Myanmar Yangon.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of Banking Services in Myanmar Yangon</dc:title>
  <dc:creator/>
  <cp:keywords/>
  <dcterms:created xsi:type="dcterms:W3CDTF">2026-07-29T05:49:57Z</dcterms:created>
  <dcterms:modified xsi:type="dcterms:W3CDTF">2026-07-29T05:49:57Z</dcterms:modified>
</cp:coreProperties>
</file>

<file path=docProps/custom.xml><?xml version="1.0" encoding="utf-8"?>
<Properties xmlns="http://schemas.openxmlformats.org/officeDocument/2006/custom-properties" xmlns:vt="http://schemas.openxmlformats.org/officeDocument/2006/docPropsVTypes"/>
</file>