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Netherlands</w:t>
      </w:r>
      <w:r>
        <w:t xml:space="preserve"> </w:t>
      </w:r>
      <w:r>
        <w:t xml:space="preserve">Amsterdam</w:t>
      </w:r>
    </w:p>
    <w:bookmarkStart w:id="33" w:name="X4101c48a4d1234010f36db7566c94281f1d2d2a"/>
    <w:p>
      <w:pPr>
        <w:pStyle w:val="Heading1"/>
      </w:pPr>
      <w:r>
        <w:t xml:space="preserve">Case Study: The Evolution of the Banker in Netherlands Amsterdam</w:t>
      </w:r>
    </w:p>
    <w:bookmarkStart w:id="20" w:name="executive-summary"/>
    <w:p>
      <w:pPr>
        <w:pStyle w:val="Heading2"/>
      </w:pPr>
      <w:r>
        <w:t xml:space="preserve">Executive Summary</w:t>
      </w:r>
    </w:p>
    <w:p>
      <w:pPr>
        <w:pStyle w:val="FirstParagraph"/>
      </w:pPr>
      <w:r>
        <w:t xml:space="preserve">The financial landscape in</w:t>
      </w:r>
      <w:r>
        <w:t xml:space="preserve"> </w:t>
      </w:r>
      <w:r>
        <w:rPr>
          <w:bCs/>
          <w:b/>
        </w:rPr>
        <w:t xml:space="preserve">Netherlands Amsterdam</w:t>
      </w:r>
      <w:r>
        <w:t xml:space="preserve">Banker within this unique ecosystem. It explores how traditional banking principles are being reconciled with Amsterdam’s innovative tech infrastructure, creating a new breed of financial professional who is part advisor, part technologist, and part compliance expert.</w:t>
      </w:r>
    </w:p>
    <w:bookmarkEnd w:id="20"/>
    <w:bookmarkStart w:id="21" w:name="Xd39381290d90b41ed9fac5d0ad4dad7b49c1816"/>
    <w:p>
      <w:pPr>
        <w:pStyle w:val="Heading2"/>
      </w:pPr>
      <w:r>
        <w:t xml:space="preserve">Background: The Context of Netherlands Amsterdam</w:t>
      </w:r>
    </w:p>
    <w:p>
      <w:pPr>
        <w:pStyle w:val="FirstParagraph"/>
      </w:pPr>
      <w:r>
        <w:rPr>
          <w:bCs/>
          <w:b/>
        </w:rPr>
        <w:t xml:space="preserve">Netherlands Amsterdam</w:t>
      </w:r>
      <w:r>
        <w:t xml:space="preserve">Banker, operating in this environment means navigating a dual reality: maintaining strict adherence to European Union regulations (such as GDPR and PSD2) while competing with agile neobanks like Bunq and Revolut.</w:t>
      </w:r>
    </w:p>
    <w:p>
      <w:pPr>
        <w:pStyle w:val="BodyText"/>
      </w:pPr>
      <w:r>
        <w:t xml:space="preserve">The Dutch banking sector is characterized by high internet penetration, a population that is highly digitized, and a strong cultural emphasis on transparency. In</w:t>
      </w:r>
      <w:r>
        <w:t xml:space="preserve"> </w:t>
      </w:r>
      <w:r>
        <w:rPr>
          <w:bCs/>
          <w:b/>
        </w:rPr>
        <w:t xml:space="preserve">Netherlands Amsterdam</w:t>
      </w:r>
      <w:r>
        <w:t xml:space="preserve">, customers expect seamless digital experiences but do not fully abandon the need for human interaction when complex financial decisions are required. This creates a specific demand for</w:t>
      </w:r>
      <w:r>
        <w:t xml:space="preserve"> </w:t>
      </w:r>
      <w:r>
        <w:rPr>
          <w:bCs/>
          <w:b/>
        </w:rPr>
        <w:t xml:space="preserve">Banker</w:t>
      </w:r>
      <w:r>
        <w:t xml:space="preserve"> </w:t>
      </w:r>
      <w:r>
        <w:t xml:space="preserve">professionals who can bridge the gap between cold algorithms and warm, personalized advice.</w:t>
      </w:r>
    </w:p>
    <w:bookmarkEnd w:id="21"/>
    <w:bookmarkStart w:id="25" w:name="the-changing-role-of-the-banker"/>
    <w:p>
      <w:pPr>
        <w:pStyle w:val="Heading2"/>
      </w:pPr>
      <w:r>
        <w:t xml:space="preserve">The Changing Role of the Banker</w:t>
      </w:r>
    </w:p>
    <w:p>
      <w:pPr>
        <w:pStyle w:val="FirstParagraph"/>
      </w:pPr>
      <w:r>
        <w:t xml:space="preserve">In this case study, we define the modern</w:t>
      </w:r>
      <w:r>
        <w:t xml:space="preserve"> </w:t>
      </w:r>
      <w:r>
        <w:rPr>
          <w:bCs/>
          <w:b/>
        </w:rPr>
        <w:t xml:space="preserve">Banker</w:t>
      </w:r>
      <w:r>
        <w:t xml:space="preserve"> </w:t>
      </w:r>
      <w:r>
        <w:t xml:space="preserve">not just as a transaction processor, but as a holistic financial wellness coach. In</w:t>
      </w:r>
      <w:r>
        <w:t xml:space="preserve"> </w:t>
      </w:r>
      <w:r>
        <w:rPr>
          <w:bCs/>
          <w:b/>
        </w:rPr>
        <w:t xml:space="preserve">Netherlands Amsterdam</w:t>
      </w:r>
      <w:r>
        <w:t xml:space="preserve">, where sustainability (ESG) is a core societal value, bankers are increasingly tasked with advising clients on green investments and sustainable portfolio management.</w:t>
      </w:r>
    </w:p>
    <w:bookmarkStart w:id="22" w:name="digital-fluency-and-hybrid-engagement"/>
    <w:p>
      <w:pPr>
        <w:pStyle w:val="Heading3"/>
      </w:pPr>
      <w:r>
        <w:t xml:space="preserve">1. Digital Fluency and Hybrid Engagement</w:t>
      </w:r>
    </w:p>
    <w:p>
      <w:pPr>
        <w:pStyle w:val="FirstParagraph"/>
      </w:pPr>
      <w:r>
        <w:t xml:space="preserve">The traditional branch model in</w:t>
      </w:r>
      <w:r>
        <w:t xml:space="preserve"> </w:t>
      </w:r>
      <w:r>
        <w:rPr>
          <w:bCs/>
          <w:b/>
        </w:rPr>
        <w:t xml:space="preserve">Netherlands AmsterdamBanker</w:t>
      </w:r>
      <w:r>
        <w:t xml:space="preserve"> </w:t>
      </w:r>
      <w:r>
        <w:t xml:space="preserve">has not disappeared; it has evolved. Bankers now utilize "phygital" channels—combining physical meetings with digital tools. For instance, a client may initiate a mortgage application via an app and then meet with a</w:t>
      </w:r>
      <w:r>
        <w:t xml:space="preserve"> </w:t>
      </w:r>
      <w:r>
        <w:rPr>
          <w:bCs/>
          <w:b/>
        </w:rPr>
        <w:t xml:space="preserve">Banker</w:t>
      </w:r>
    </w:p>
    <w:bookmarkEnd w:id="22"/>
    <w:bookmarkStart w:id="23" w:name="X23c0cbec034a5e1fb30520e994582c6fba0f391"/>
    <w:p>
      <w:pPr>
        <w:pStyle w:val="Heading3"/>
      </w:pPr>
      <w:r>
        <w:t xml:space="preserve">2. Regulatory Expertise as a Competitive Advantage</w:t>
      </w:r>
    </w:p>
    <w:p>
      <w:pPr>
        <w:pStyle w:val="FirstParagraph"/>
      </w:pPr>
      <w:r>
        <w:t xml:space="preserve">The Netherlands has one of the most robust regulatory frameworks in Europe. For a</w:t>
      </w:r>
    </w:p>
    <w:p>
      <w:pPr>
        <w:pStyle w:val="BodyText"/>
      </w:pPr>
      <w:r>
        <w:t xml:space="preserve">Banker working in</w:t>
      </w:r>
    </w:p>
    <w:p>
      <w:pPr>
        <w:pStyle w:val="BodyText"/>
      </w:pPr>
      <w:r>
        <w:t xml:space="preserve">Netherlands Amsterdam, knowledge of Anti-Money Laundering (AML) and Know Your Customer (KYC) protocols is paramount. Unlike competitors in less regulated markets, the local banker must embed compliance into every client interaction without compromising service quality. This case study highlights how top-performing bankers use compliance not as a hurdle, but as a trust-building tool. By explaining *why* certain checks are necessary, they enhance the client’s sense of security.</w:t>
      </w:r>
    </w:p>
    <w:bookmarkEnd w:id="23"/>
    <w:bookmarkStart w:id="24" w:name="the-esg-imperative"/>
    <w:p>
      <w:pPr>
        <w:pStyle w:val="Heading3"/>
      </w:pPr>
      <w:r>
        <w:t xml:space="preserve">3. The ESG Imperative</w:t>
      </w:r>
    </w:p>
    <w:p>
      <w:pPr>
        <w:pStyle w:val="FirstParagraph"/>
      </w:pPr>
      <w:r>
        <w:t xml:space="preserve">A distinct feature of banking in</w:t>
      </w:r>
    </w:p>
    <w:p>
      <w:pPr>
        <w:pStyle w:val="BodyText"/>
      </w:pPr>
      <w:r>
        <w:t xml:space="preserve">Netherlands Amsterdam is the high demand for Environmental, Social, and Governance (ESG) products. Younger demographics in the city actively seek banks that align with their values. Consequently, the</w:t>
      </w:r>
    </w:p>
    <w:p>
      <w:pPr>
        <w:pStyle w:val="BodyText"/>
      </w:pPr>
      <w:r>
        <w:t xml:space="preserve">Banker must be educated on carbon footprint tracking, green bonds, and social impact investing. The case study identifies a gap in traditional banking education regarding these topics and suggests that continuous professional development is essential for bankers to remain relevant.</w:t>
      </w:r>
    </w:p>
    <w:bookmarkEnd w:id="24"/>
    <w:bookmarkEnd w:id="25"/>
    <w:bookmarkStart w:id="29" w:name="X4c051f07032b1acbcc22623bd9f33d41f475d35"/>
    <w:p>
      <w:pPr>
        <w:pStyle w:val="Heading2"/>
      </w:pPr>
      <w:r>
        <w:t xml:space="preserve">Case Scenario: The Sustainable Mortgage Consultation</w:t>
      </w:r>
    </w:p>
    <w:p>
      <w:pPr>
        <w:pStyle w:val="FirstParagraph"/>
      </w:pPr>
      <w:r>
        <w:t xml:space="preserve">To illustrate the practical application of these concepts, consider the following scenario involving a</w:t>
      </w:r>
    </w:p>
    <w:p>
      <w:pPr>
        <w:pStyle w:val="BodyText"/>
      </w:pPr>
      <w:r>
        <w:t xml:space="preserve">Banker named Elena, working at a mid-sized commercial bank in Amsterdam.</w:t>
      </w:r>
    </w:p>
    <w:bookmarkStart w:id="26" w:name="the-client-profile"/>
    <w:p>
      <w:pPr>
        <w:pStyle w:val="Heading3"/>
      </w:pPr>
      <w:r>
        <w:t xml:space="preserve">The Client Profile</w:t>
      </w:r>
    </w:p>
    <w:p>
      <w:pPr>
        <w:pStyle w:val="FirstParagraph"/>
      </w:pPr>
      <w:r>
        <w:t xml:space="preserve">Elena is approached by a young couple, Lars and Sophie, who are first-time homebuyers in Amsterdam. They are tech-savvy but anxious about the high interest rates and the environmental impact of their potential purchase. They prefer digital communication but want reassurance on complex legal matters.</w:t>
      </w:r>
    </w:p>
    <w:bookmarkEnd w:id="26"/>
    <w:bookmarkStart w:id="27" w:name="the-bankers-strategy"/>
    <w:p>
      <w:pPr>
        <w:pStyle w:val="Heading3"/>
      </w:pPr>
      <w:r>
        <w:t xml:space="preserve">The Banker’s Strategy</w:t>
      </w:r>
    </w:p>
    <w:p>
      <w:pPr>
        <w:numPr>
          <w:ilvl w:val="0"/>
          <w:numId w:val="1001"/>
        </w:numPr>
        <w:pStyle w:val="Compact"/>
      </w:pPr>
      <w:r>
        <w:rPr>
          <w:bCs/>
          <w:b/>
        </w:rPr>
        <w:t xml:space="preserve">Initial Contact:</w:t>
      </w:r>
      <w:r>
        <w:t xml:space="preserve"> </w:t>
      </w:r>
      <w:r>
        <w:t xml:space="preserve">Elena uses a secure messaging platform to gather initial data, respecting the client’s preference for asynchronous communication.</w:t>
      </w:r>
    </w:p>
    <w:p>
      <w:pPr>
        <w:numPr>
          <w:ilvl w:val="0"/>
          <w:numId w:val="1001"/>
        </w:numPr>
        <w:pStyle w:val="Compact"/>
      </w:pPr>
      <w:r>
        <w:t xml:space="preserve">Data Analysis: Using AI-driven tools, Elena analyzes Lars and Sophie’s financial health and identifies potential eligibility for green mortgages, which offer lower interest rates for energy-efficient homes.</w:t>
      </w:r>
    </w:p>
    <w:p>
      <w:pPr>
        <w:numPr>
          <w:ilvl w:val="0"/>
          <w:numId w:val="1001"/>
        </w:numPr>
        <w:pStyle w:val="Compact"/>
      </w:pPr>
      <w:r>
        <w:t xml:space="preserve">The Meeting: A video consultation is held. Instead of focusing solely on numbers, Elena educates the couple on how choosing a B-label (energy rating) home aligns with their values and offers long-term financial savings.</w:t>
      </w:r>
    </w:p>
    <w:p>
      <w:pPr>
        <w:numPr>
          <w:ilvl w:val="0"/>
          <w:numId w:val="1001"/>
        </w:numPr>
        <w:pStyle w:val="Compact"/>
      </w:pPr>
      <w:r>
        <w:t xml:space="preserve">Compliance Check: Elena ensures all KYC documents are verified digitally, reducing paperwork and wait times.</w:t>
      </w:r>
    </w:p>
    <w:p>
      <w:pPr>
        <w:numPr>
          <w:ilvl w:val="0"/>
          <w:numId w:val="1001"/>
        </w:numPr>
        <w:pStyle w:val="Compact"/>
      </w:pPr>
      <w:r>
        <w:t xml:space="preserve">Follo w-up: After the mortgage is approved, Elena sends a digital guide on sustainable home ownership resources in</w:t>
      </w:r>
    </w:p>
    <w:p>
      <w:pPr>
        <w:numPr>
          <w:ilvl w:val="0"/>
          <w:numId w:val="1000"/>
        </w:numPr>
        <w:pStyle w:val="Compact"/>
      </w:pPr>
      <w:r>
        <w:t xml:space="preserve">Netherlands Amsterdam.</w:t>
      </w:r>
    </w:p>
    <w:bookmarkEnd w:id="27"/>
    <w:bookmarkStart w:id="28" w:name="the-outcome"/>
    <w:p>
      <w:pPr>
        <w:pStyle w:val="Heading3"/>
      </w:pPr>
      <w:r>
        <w:t xml:space="preserve">The Outcome</w:t>
      </w:r>
    </w:p>
    <w:p>
      <w:pPr>
        <w:pStyle w:val="FirstParagraph"/>
      </w:pPr>
      <w:r>
        <w:t xml:space="preserve">The couple secured a green mortgage with favorable terms. More importantly, they developed long-term loyalty to the bank due to Elena’s personalized, values-driven approach. This case demonstrates how the</w:t>
      </w:r>
    </w:p>
    <w:p>
      <w:pPr>
        <w:pStyle w:val="BodyText"/>
      </w:pPr>
      <w:r>
        <w:t xml:space="preserve">Banker leverages technology and empathy to succeed in the competitive Amsterdam market.</w:t>
      </w:r>
    </w:p>
    <w:bookmarkEnd w:id="28"/>
    <w:bookmarkEnd w:id="29"/>
    <w:bookmarkStart w:id="30" w:name="challenges-and-solutions"/>
    <w:p>
      <w:pPr>
        <w:pStyle w:val="Heading2"/>
      </w:pPr>
      <w:r>
        <w:t xml:space="preserve">Challenges and Solutions</w:t>
      </w:r>
    </w:p>
    <w:p>
      <w:pPr>
        <w:pStyle w:val="FirstParagraph"/>
      </w:pPr>
      <w:r>
        <w:t xml:space="preserve">The case study identifies several challenges facing bankers in this region:</w:t>
      </w:r>
    </w:p>
    <w:p>
      <w:pPr>
        <w:numPr>
          <w:ilvl w:val="0"/>
          <w:numId w:val="1002"/>
        </w:numPr>
        <w:pStyle w:val="Compact"/>
      </w:pPr>
      <w:r>
        <w:t xml:space="preserve">Talent Shortage: There is a high demand for bankers who possess both financial expertise and tech skills.</w:t>
      </w:r>
    </w:p>
    <w:p>
      <w:pPr>
        <w:numPr>
          <w:ilvl w:val="0"/>
          <w:numId w:val="1000"/>
        </w:numPr>
        <w:pStyle w:val="Compact"/>
      </w:pPr>
      <w:r>
        <w:t xml:space="preserve">Solution: Banks are partnering with local universities in Amsterdam to create specialized curricula.</w:t>
      </w:r>
    </w:p>
    <w:p>
      <w:pPr>
        <w:numPr>
          <w:ilvl w:val="0"/>
          <w:numId w:val="1002"/>
        </w:numPr>
        <w:pStyle w:val="Compact"/>
      </w:pPr>
      <w:r>
        <w:t xml:space="preserve">Cybersecurity Risks: As Amsterdam becomes a digital hub, banking apps face increased threat levels.</w:t>
      </w:r>
    </w:p>
    <w:p>
      <w:pPr>
        <w:numPr>
          <w:ilvl w:val="0"/>
          <w:numId w:val="1000"/>
        </w:numPr>
        <w:pStyle w:val="Compact"/>
      </w:pPr>
      <w:r>
        <w:t xml:space="preserve">Solution: Investment in blockchain technology for secure transactions and continuous staff training on phishing awareness.</w:t>
      </w:r>
    </w:p>
    <w:p>
      <w:pPr>
        <w:numPr>
          <w:ilvl w:val="0"/>
          <w:numId w:val="1002"/>
        </w:numPr>
        <w:pStyle w:val="Compact"/>
      </w:pPr>
      <w:r>
        <w:t xml:space="preserve">Diversity Inclusion:</w:t>
      </w:r>
    </w:p>
    <w:p>
      <w:pPr>
        <w:numPr>
          <w:ilvl w:val="0"/>
          <w:numId w:val="1000"/>
        </w:numPr>
        <w:pStyle w:val="Compact"/>
      </w:pPr>
      <w:r>
        <w:t xml:space="preserve">Netherlands Amsterdam Solution: Implementing multi-language support and unconscious bias training for banking staff.</w:t>
      </w:r>
    </w:p>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Banker in</w:t>
      </w:r>
      <w:r>
        <w:rPr>
          <w:bCs/>
          <w:b/>
        </w:rPr>
        <w:t xml:space="preserve"> </w:t>
      </w:r>
      <w:r>
        <w:rPr>
          <w:bCs/>
          <w:b/>
          <w:bCs/>
          <w:b/>
        </w:rPr>
        <w:t xml:space="preserve">Netherlands Amsterdam</w:t>
      </w:r>
    </w:p>
    <w:p>
      <w:pPr>
        <w:pStyle w:val="BodyText"/>
      </w:pPr>
      <w:r>
        <w:t xml:space="preserve">For institutions operating in</w:t>
      </w:r>
    </w:p>
    <w:p>
      <w:pPr>
        <w:pStyle w:val="BodyText"/>
      </w:pPr>
      <w:r>
        <w:t xml:space="preserve">Netherlands Amsterdam, investing in their banking workforce is not just an operational necessity but a strategic imperative. By empowering bankers with advanced tools, regulatory knowledge, and soft skills, banks can differentiate themselves in a crowded market. The case study concludes that the synergy between human expertise and technological innovation is the key to unlocking sustainable growth in this dynamic financial hub.</w:t>
      </w:r>
    </w:p>
    <w:bookmarkEnd w:id="31"/>
    <w:bookmarkStart w:id="32" w:name="recommendations"/>
    <w:p>
      <w:pPr>
        <w:pStyle w:val="Heading2"/>
      </w:pPr>
      <w:r>
        <w:t xml:space="preserve">Recommendations</w:t>
      </w:r>
    </w:p>
    <w:p>
      <w:pPr>
        <w:numPr>
          <w:ilvl w:val="0"/>
          <w:numId w:val="1003"/>
        </w:numPr>
        <w:pStyle w:val="Compact"/>
      </w:pPr>
      <w:r>
        <w:rPr>
          <w:bCs/>
          <w:b/>
        </w:rPr>
        <w:t xml:space="preserve">Continuous Training:</w:t>
      </w:r>
      <w:r>
        <w:t xml:space="preserve"> </w:t>
      </w:r>
      <w:r>
        <w:t xml:space="preserve">Banks should invest in ongoing training programs focused on digital literacy, ESG principles, and regulatory updates for all</w:t>
      </w:r>
      <w:r>
        <w:t xml:space="preserve"> </w:t>
      </w:r>
      <w:r>
        <w:rPr>
          <w:bCs/>
          <w:b/>
        </w:rPr>
        <w:t xml:space="preserve">Banker</w:t>
      </w:r>
    </w:p>
    <w:p>
      <w:pPr>
        <w:numPr>
          <w:ilvl w:val="0"/>
          <w:numId w:val="1003"/>
        </w:numPr>
        <w:pStyle w:val="Compact"/>
      </w:pPr>
      <w:r>
        <w:t xml:space="preserve">Cultural Adaptability: Hiring practices in</w:t>
      </w:r>
    </w:p>
    <w:p>
      <w:pPr>
        <w:numPr>
          <w:ilvl w:val="0"/>
          <w:numId w:val="1000"/>
        </w:numPr>
        <w:pStyle w:val="Compact"/>
      </w:pPr>
      <w:r>
        <w:t xml:space="preserve">Netherlands Amsterdam should prioritize diversity to reflect the international nature of the city and its client base.</w:t>
      </w:r>
    </w:p>
    <w:p>
      <w:pPr>
        <w:numPr>
          <w:ilvl w:val="0"/>
          <w:numId w:val="1003"/>
        </w:numPr>
        <w:pStyle w:val="Compact"/>
      </w:pPr>
      <w:r>
        <w:t xml:space="preserve">Tech-Enabled Human Touch: Use AI to handle routine transactions, freeing up bankers to focus on complex advisory roles that require empathy and strategic thinking.</w:t>
      </w:r>
    </w:p>
    <w:p>
      <w:pPr>
        <w:pStyle w:val="FirstParagraph"/>
      </w:pPr>
      <w:r>
        <w:t xml:space="preserve">This case study serves as a blueprint for understanding how the</w:t>
      </w:r>
    </w:p>
    <w:p>
      <w:pPr>
        <w:pStyle w:val="BodyText"/>
      </w:pPr>
      <w:r>
        <w:t xml:space="preserve">Banker profession is adapting to the unique demands of</w:t>
      </w:r>
    </w:p>
    <w:p>
      <w:pPr>
        <w:pStyle w:val="BodyText"/>
      </w:pPr>
      <w:r>
        <w:t xml:space="preserve">Netherlands Amsterdam, ensuring that traditional banking values thrive in a modern, digital-first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Netherlands Amsterdam</dc:title>
  <dc:creator/>
  <dc:language>en</dc:language>
  <cp:keywords/>
  <dcterms:created xsi:type="dcterms:W3CDTF">2026-07-29T20:25:43Z</dcterms:created>
  <dcterms:modified xsi:type="dcterms:W3CDTF">2026-07-29T20:25:43Z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