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and</w:t>
      </w:r>
      <w:r>
        <w:t xml:space="preserve"> </w:t>
      </w:r>
      <w:r>
        <w:t xml:space="preserve">Digital</w:t>
      </w:r>
      <w:r>
        <w:t xml:space="preserve"> </w:t>
      </w:r>
      <w:r>
        <w:t xml:space="preserve">Transformation</w:t>
      </w:r>
      <w:r>
        <w:t xml:space="preserve"> </w:t>
      </w:r>
      <w:r>
        <w:t xml:space="preserve">of</w:t>
      </w:r>
      <w:r>
        <w:t xml:space="preserve"> </w:t>
      </w:r>
      <w:r>
        <w:t xml:space="preserve">a</w:t>
      </w:r>
      <w:r>
        <w:t xml:space="preserve"> </w:t>
      </w:r>
      <w:r>
        <w:t xml:space="preserve">Global</w:t>
      </w:r>
      <w:r>
        <w:t xml:space="preserve"> </w:t>
      </w:r>
      <w:r>
        <w:t xml:space="preserve">Banker</w:t>
      </w:r>
      <w:r>
        <w:t xml:space="preserve"> </w:t>
      </w:r>
      <w:r>
        <w:t xml:space="preserve">in</w:t>
      </w:r>
      <w:r>
        <w:t xml:space="preserve"> </w:t>
      </w:r>
      <w:r>
        <w:t xml:space="preserve">Qatar,</w:t>
      </w:r>
      <w:r>
        <w:t xml:space="preserve"> </w:t>
      </w:r>
      <w:r>
        <w:t xml:space="preserve">Doha</w:t>
      </w:r>
    </w:p>
    <w:bookmarkStart w:id="32" w:name="X0216ec5240ce10a825267921b5c1f927abe5f99"/>
    <w:p>
      <w:pPr>
        <w:pStyle w:val="Heading1"/>
      </w:pPr>
      <w:r>
        <w:t xml:space="preserve">Case Study: Strategic Expansion and Digital Transformation of a Global Banker in Qatar, Doha</w:t>
      </w:r>
    </w:p>
    <w:p>
      <w:pPr>
        <w:pStyle w:val="FirstParagraph"/>
      </w:pPr>
      <w:r>
        <w:rPr>
          <w:bCs/>
          <w:b/>
        </w:rPr>
        <w:t xml:space="preserve">Date:</w:t>
      </w:r>
      <w:r>
        <w:t xml:space="preserve"> </w:t>
      </w:r>
      <w:r>
        <w:t xml:space="preserve">October 2023</w:t>
      </w:r>
      <w:r>
        <w:br/>
      </w:r>
      <w:r>
        <w:rPr>
          <w:bCs/>
          <w:b/>
        </w:rPr>
        <w:t xml:space="preserve">Subject:</w:t>
      </w:r>
      <w:r>
        <w:t xml:space="preserve">The Integration of International Banking Standards with Local Regulatory Frameworks in Qatar, Doha</w:t>
      </w:r>
    </w:p>
    <w:bookmarkStart w:id="20" w:name="executive-summary"/>
    <w:p>
      <w:pPr>
        <w:pStyle w:val="Heading2"/>
      </w:pPr>
      <w:r>
        <w:t xml:space="preserve">1. Executive Summary</w:t>
      </w:r>
    </w:p>
    <w:p>
      <w:pPr>
        <w:pStyle w:val="FirstParagraph"/>
      </w:pPr>
      <w:r>
        <w:t xml:space="preserve">This case study examines the operational challenges and strategic opportunities faced by a prominent multinational</w:t>
      </w:r>
      <w:r>
        <w:t xml:space="preserve"> </w:t>
      </w:r>
      <w:r>
        <w:rPr>
          <w:bCs/>
          <w:b/>
        </w:rPr>
        <w:t xml:space="preserve">Banker</w:t>
      </w:r>
      <w:r>
        <w:t xml:space="preserve"> </w:t>
      </w:r>
      <w:r>
        <w:t xml:space="preserve">seeking to establish a dominant presence in the rapidly evolving financial landscape of</w:t>
      </w:r>
      <w:r>
        <w:t xml:space="preserve"> </w:t>
      </w:r>
      <w:r>
        <w:rPr>
          <w:bCs/>
          <w:b/>
        </w:rPr>
        <w:t xml:space="preserve">Qatar Doha</w:t>
      </w:r>
      <w:r>
        <w:t xml:space="preserve">. As Qatar accelerates its transition from an oil-dependent economy to a knowledge-based hub, the demand for sophisticated financial services has skyrocketed. This document analyzes how international banking practices must be adapted to align with Qatar’s national vision, regulatory requirements, and cultural nuances. The primary focus is on bridging the gap between global</w:t>
      </w:r>
      <w:r>
        <w:t xml:space="preserve"> </w:t>
      </w:r>
      <w:r>
        <w:rPr>
          <w:bCs/>
          <w:b/>
        </w:rPr>
        <w:t xml:space="preserve">Banker</w:t>
      </w:r>
      <w:r>
        <w:t xml:space="preserve"> </w:t>
      </w:r>
      <w:r>
        <w:t xml:space="preserve">methodologies and local expectations in</w:t>
      </w:r>
      <w:r>
        <w:t xml:space="preserve"> </w:t>
      </w:r>
      <w:r>
        <w:rPr>
          <w:bCs/>
          <w:b/>
        </w:rPr>
        <w:t xml:space="preserve">Qatar Doha</w:t>
      </w:r>
      <w:r>
        <w:t xml:space="preserve">, ensuring sustainable growth and compliance.</w:t>
      </w:r>
    </w:p>
    <w:bookmarkEnd w:id="20"/>
    <w:bookmarkStart w:id="21" w:name="Xde66195fa706e95cfbda5bf88e0873b5c2cbd8e"/>
    <w:p>
      <w:pPr>
        <w:pStyle w:val="Heading2"/>
      </w:pPr>
      <w:r>
        <w:t xml:space="preserve">2. Background: The Financial Landscape of Qatar Doha</w:t>
      </w:r>
    </w:p>
    <w:p>
      <w:pPr>
        <w:pStyle w:val="FirstParagraph"/>
      </w:pPr>
      <w:r>
        <w:rPr>
          <w:bCs/>
          <w:b/>
        </w:rPr>
        <w:t xml:space="preserve">Doha, Qatar</w:t>
      </w:r>
      <w:r>
        <w:t xml:space="preserve">, stands as the economic heart of the Gulf region. Following the successful hosting of the 2022 FIFA World Cup and ongoing infrastructure developments tied to "Qatar National Vision 2030," the emirate has witnessed an influx of foreign investment and a surge in high-net-worth individuals (HNWIs). The financial sector in</w:t>
      </w:r>
      <w:r>
        <w:t xml:space="preserve"> </w:t>
      </w:r>
      <w:r>
        <w:rPr>
          <w:bCs/>
          <w:b/>
        </w:rPr>
        <w:t xml:space="preserve">Qatar Doha</w:t>
      </w:r>
      <w:r>
        <w:t xml:space="preserve"> </w:t>
      </w:r>
      <w:r>
        <w:t xml:space="preserve">is characterized by a dual banking system comprising conventional banks and Islamic finance institutions. For any international</w:t>
      </w:r>
      <w:r>
        <w:t xml:space="preserve"> </w:t>
      </w:r>
      <w:r>
        <w:rPr>
          <w:bCs/>
          <w:b/>
        </w:rPr>
        <w:t xml:space="preserve">Banker</w:t>
      </w:r>
      <w:r>
        <w:t xml:space="preserve">, entering this market requires more than just capital; it demands a deep understanding of Sharia-compliant financing principles, which are integral to the local economy.</w:t>
      </w:r>
    </w:p>
    <w:p>
      <w:pPr>
        <w:pStyle w:val="BodyText"/>
      </w:pPr>
      <w:r>
        <w:t xml:space="preserve">The Central Bank of Qatar (CBQ) maintains strict regulatory oversight, emphasizing financial stability, anti-money laundering (AML) protocols, and data sovereignty. Consequently, the</w:t>
      </w:r>
      <w:r>
        <w:t xml:space="preserve"> </w:t>
      </w:r>
      <w:r>
        <w:rPr>
          <w:bCs/>
          <w:b/>
        </w:rPr>
        <w:t xml:space="preserve">Banker</w:t>
      </w:r>
      <w:r>
        <w:t xml:space="preserve"> </w:t>
      </w:r>
      <w:r>
        <w:t xml:space="preserve">in question faced a complex puzzle: how to deploy global efficiency metrics while respecting the unique socio-economic fabric of</w:t>
      </w:r>
      <w:r>
        <w:t xml:space="preserve"> </w:t>
      </w:r>
      <w:r>
        <w:rPr>
          <w:bCs/>
          <w:b/>
        </w:rPr>
        <w:t xml:space="preserve">Qatar Doha</w:t>
      </w:r>
      <w:r>
        <w:t xml:space="preserve">.</w:t>
      </w:r>
    </w:p>
    <w:bookmarkEnd w:id="21"/>
    <w:bookmarkStart w:id="23" w:name="X97eff4d7f12cdea885af54b882635aebea91ef8"/>
    <w:p>
      <w:pPr>
        <w:pStyle w:val="Heading2"/>
      </w:pPr>
      <w:r>
        <w:t xml:space="preserve">3. The Challenge: Navigating Dual Banking Systems and Compliance</w:t>
      </w:r>
    </w:p>
    <w:p>
      <w:pPr>
        <w:pStyle w:val="FirstParagraph"/>
      </w:pPr>
      <w:r>
        <w:t xml:space="preserve">The core challenge for the</w:t>
      </w:r>
      <w:r>
        <w:t xml:space="preserve"> </w:t>
      </w:r>
      <w:r>
        <w:rPr>
          <w:bCs/>
          <w:b/>
        </w:rPr>
        <w:t xml:space="preserve">Banker</w:t>
      </w:r>
      <w:r>
        <w:t xml:space="preserve"> </w:t>
      </w:r>
      <w:r>
        <w:t xml:space="preserve">was twofold. First, there was the technical hurdle of integrating digital banking platforms with local payment gateways that are specifically designed for the Qatari market. Second, and more critically, was the cultural and regulatory integration of Islamic finance products.</w:t>
      </w:r>
    </w:p>
    <w:p>
      <w:pPr>
        <w:pStyle w:val="BodyText"/>
      </w:pPr>
      <w:r>
        <w:t xml:space="preserve">In</w:t>
      </w:r>
      <w:r>
        <w:t xml:space="preserve"> </w:t>
      </w:r>
      <w:r>
        <w:rPr>
          <w:bCs/>
          <w:b/>
        </w:rPr>
        <w:t xml:space="preserve">Qatar Doha</w:t>
      </w:r>
      <w:r>
        <w:t xml:space="preserve">, a significant portion of transactions involves Mudarabah (profit-sharing) and Murabaha (cost-plus financing). An international</w:t>
      </w:r>
      <w:r>
        <w:t xml:space="preserve"> </w:t>
      </w:r>
      <w:r>
        <w:rPr>
          <w:bCs/>
          <w:b/>
        </w:rPr>
        <w:t xml:space="preserve">Banker</w:t>
      </w:r>
      <w:r>
        <w:t xml:space="preserve"> </w:t>
      </w:r>
      <w:r>
        <w:t xml:space="preserve">accustomed to conventional interest-based lending models struggled initially with structuring these products competitively. Furthermore, the talent pool in</w:t>
      </w:r>
      <w:r>
        <w:t xml:space="preserve"> </w:t>
      </w:r>
      <w:r>
        <w:rPr>
          <w:bCs/>
          <w:b/>
        </w:rPr>
        <w:t xml:space="preserve">Qatar Doha</w:t>
      </w:r>
      <w:r>
        <w:t xml:space="preserve">, while growing, required specific upskilling to handle cross-border regulatory reporting that satisfied both local authorities and international bodies like the FATF (Financial Action Task Force).</w:t>
      </w:r>
    </w:p>
    <w:bookmarkStart w:id="22" w:name="key-insight"/>
    <w:p>
      <w:pPr>
        <w:pStyle w:val="Heading3"/>
      </w:pPr>
      <w:r>
        <w:t xml:space="preserve">Key Insight:</w:t>
      </w:r>
    </w:p>
    <w:p>
      <w:pPr>
        <w:pStyle w:val="FirstParagraph"/>
      </w:pPr>
      <w:r>
        <w:t xml:space="preserve">The failure of previous market entrants was often attributed to a "one-size-fits-all" approach. Successful entry into</w:t>
      </w:r>
      <w:r>
        <w:t xml:space="preserve"> </w:t>
      </w:r>
      <w:r>
        <w:rPr>
          <w:bCs/>
          <w:b/>
        </w:rPr>
        <w:t xml:space="preserve">Qatar Doha</w:t>
      </w:r>
      <w:r>
        <w:t xml:space="preserve"> </w:t>
      </w:r>
      <w:r>
        <w:t xml:space="preserve">required hyper-localization of the global</w:t>
      </w:r>
      <w:r>
        <w:t xml:space="preserve"> </w:t>
      </w:r>
      <w:r>
        <w:rPr>
          <w:bCs/>
          <w:b/>
        </w:rPr>
        <w:t xml:space="preserve">Banker</w:t>
      </w:r>
      <w:r>
        <w:t xml:space="preserve">'s value proposition.</w:t>
      </w:r>
    </w:p>
    <w:bookmarkEnd w:id="22"/>
    <w:bookmarkEnd w:id="23"/>
    <w:bookmarkStart w:id="27" w:name="Xe4d4dc021759e3de93d316e04f4dcc729eb2ad0"/>
    <w:p>
      <w:pPr>
        <w:pStyle w:val="Heading2"/>
      </w:pPr>
      <w:r>
        <w:t xml:space="preserve">4. Strategic Implementation: The Hybrid Model</w:t>
      </w:r>
    </w:p>
    <w:p>
      <w:pPr>
        <w:pStyle w:val="FirstParagraph"/>
      </w:pPr>
      <w:r>
        <w:t xml:space="preserve">To overcome these barriers, the</w:t>
      </w:r>
      <w:r>
        <w:t xml:space="preserve"> </w:t>
      </w:r>
      <w:r>
        <w:rPr>
          <w:bCs/>
          <w:b/>
        </w:rPr>
        <w:t xml:space="preserve">Banker</w:t>
      </w:r>
      <w:r>
        <w:t xml:space="preserve"> </w:t>
      </w:r>
      <w:r>
        <w:t xml:space="preserve">adopted a hybrid strategy tailored specifically for</w:t>
      </w:r>
      <w:r>
        <w:t xml:space="preserve"> </w:t>
      </w:r>
      <w:r>
        <w:rPr>
          <w:bCs/>
          <w:b/>
        </w:rPr>
        <w:t xml:space="preserve">Qatar Doha</w:t>
      </w:r>
      <w:r>
        <w:t xml:space="preserve">. This approach involved three critical pillars:</w:t>
      </w:r>
    </w:p>
    <w:bookmarkStart w:id="24" w:name="X6deb0ac56a9e078bb2e3679b7087c2dd70db9ed"/>
    <w:p>
      <w:pPr>
        <w:pStyle w:val="Heading3"/>
      </w:pPr>
      <w:r>
        <w:t xml:space="preserve">A. Localization of Islamic Finance Products</w:t>
      </w:r>
    </w:p>
    <w:p>
      <w:pPr>
        <w:pStyle w:val="FirstParagraph"/>
      </w:pPr>
      <w:r>
        <w:t xml:space="preserve">The</w:t>
      </w:r>
      <w:r>
        <w:t xml:space="preserve"> </w:t>
      </w:r>
      <w:r>
        <w:rPr>
          <w:bCs/>
          <w:b/>
        </w:rPr>
        <w:t xml:space="preserve">Banker</w:t>
      </w:r>
      <w:r>
        <w:t xml:space="preserve"> </w:t>
      </w:r>
      <w:r>
        <w:t xml:space="preserve">established a dedicated Sharia Supervisory Board within its Qatari branch. This board ensured that all financial products offered in</w:t>
      </w:r>
      <w:r>
        <w:t xml:space="preserve"> </w:t>
      </w:r>
      <w:r>
        <w:rPr>
          <w:bCs/>
          <w:b/>
        </w:rPr>
        <w:t xml:space="preserve">Qatar Doha</w:t>
      </w:r>
      <w:r>
        <w:t xml:space="preserve"> </w:t>
      </w:r>
      <w:r>
        <w:t xml:space="preserve">were fully compliant with Islamic law. By partnering with local scholars and integrating traditional values into modern fintech solutions, the bank gained trust among conservative investors and families in</w:t>
      </w:r>
      <w:r>
        <w:t xml:space="preserve"> </w:t>
      </w:r>
      <w:r>
        <w:rPr>
          <w:bCs/>
          <w:b/>
        </w:rPr>
        <w:t xml:space="preserve">Doha</w:t>
      </w:r>
      <w:r>
        <w:t xml:space="preserve">.</w:t>
      </w:r>
    </w:p>
    <w:bookmarkEnd w:id="24"/>
    <w:bookmarkStart w:id="25" w:name="Xd1f5f1bac3a88be1136c6b5dc4e962794b7e838"/>
    <w:p>
      <w:pPr>
        <w:pStyle w:val="Heading3"/>
      </w:pPr>
      <w:r>
        <w:t xml:space="preserve">B. Digital Transformation for a Mobile-First Population</w:t>
      </w:r>
    </w:p>
    <w:p>
      <w:pPr>
        <w:pStyle w:val="FirstParagraph"/>
      </w:pPr>
      <w:r>
        <w:t xml:space="preserve">The population of</w:t>
      </w:r>
      <w:r>
        <w:t xml:space="preserve"> </w:t>
      </w:r>
      <w:r>
        <w:rPr>
          <w:bCs/>
          <w:b/>
        </w:rPr>
        <w:t xml:space="preserve">Qatar Doha</w:t>
      </w:r>
      <w:r>
        <w:t xml:space="preserve"> </w:t>
      </w:r>
      <w:r>
        <w:t xml:space="preserve">is one of the most connected globally, with extremely high smartphone penetration rates. The</w:t>
      </w:r>
      <w:r>
        <w:t xml:space="preserve"> </w:t>
      </w:r>
      <w:r>
        <w:rPr>
          <w:bCs/>
          <w:b/>
        </w:rPr>
        <w:t xml:space="preserve">Banker</w:t>
      </w:r>
      <w:r>
        <w:t xml:space="preserve"> </w:t>
      </w:r>
      <w:r>
        <w:t xml:space="preserve">invested heavily in a mobile-first interface that offered seamless integration with local government services (such as the Metrash2 app). This feature allowed customers in</w:t>
      </w:r>
      <w:r>
        <w:t xml:space="preserve"> </w:t>
      </w:r>
      <w:r>
        <w:rPr>
          <w:bCs/>
          <w:b/>
        </w:rPr>
        <w:t xml:space="preserve">Doha</w:t>
      </w:r>
      <w:r>
        <w:t xml:space="preserve"> </w:t>
      </w:r>
      <w:r>
        <w:t xml:space="preserve">to perform identity verification and account opening directly from their phones, reducing friction and enhancing user experience.</w:t>
      </w:r>
    </w:p>
    <w:bookmarkEnd w:id="25"/>
    <w:bookmarkStart w:id="26" w:name="X2c07c9556041aa95081662e8feec616c484549f"/>
    <w:p>
      <w:pPr>
        <w:pStyle w:val="Heading3"/>
      </w:pPr>
      <w:r>
        <w:t xml:space="preserve">C. Strategic Partnerships with Local Entities</w:t>
      </w:r>
    </w:p>
    <w:p>
      <w:pPr>
        <w:pStyle w:val="FirstParagraph"/>
      </w:pPr>
      <w:r>
        <w:t xml:space="preserve">Rather than operating in isolation, the</w:t>
      </w:r>
      <w:r>
        <w:t xml:space="preserve"> </w:t>
      </w:r>
      <w:r>
        <w:rPr>
          <w:bCs/>
          <w:b/>
        </w:rPr>
        <w:t xml:space="preserve">Banker</w:t>
      </w:r>
      <w:r>
        <w:t xml:space="preserve"> </w:t>
      </w:r>
      <w:r>
        <w:t xml:space="preserve">formed joint ventures with prominent Qatari holding companies. This move not only provided immediate market access but also signaled a long-term commitment to the economic future of</w:t>
      </w:r>
      <w:r>
        <w:t xml:space="preserve"> </w:t>
      </w:r>
      <w:r>
        <w:rPr>
          <w:bCs/>
          <w:b/>
        </w:rPr>
        <w:t xml:space="preserve">Qatar Doha</w:t>
      </w:r>
      <w:r>
        <w:t xml:space="preserve">. These partnerships facilitated better risk assessment capabilities, leveraging local knowledge about market trends specific to the region.</w:t>
      </w:r>
    </w:p>
    <w:bookmarkEnd w:id="26"/>
    <w:bookmarkEnd w:id="27"/>
    <w:bookmarkStart w:id="28" w:name="results-and-impact-analysis"/>
    <w:p>
      <w:pPr>
        <w:pStyle w:val="Heading2"/>
      </w:pPr>
      <w:r>
        <w:t xml:space="preserve">5. Results and Impact Analysis</w:t>
      </w:r>
    </w:p>
    <w:p>
      <w:pPr>
        <w:pStyle w:val="FirstParagraph"/>
      </w:pPr>
      <w:r>
        <w:t xml:space="preserve">The implementation of this localized strategy yielded remarkable results within eighteen months. The</w:t>
      </w:r>
      <w:r>
        <w:t xml:space="preserve"> </w:t>
      </w:r>
      <w:r>
        <w:rPr>
          <w:bCs/>
          <w:b/>
        </w:rPr>
        <w:t xml:space="preserve">Banker</w:t>
      </w:r>
      <w:r>
        <w:t xml:space="preserve"> </w:t>
      </w:r>
      <w:r>
        <w:t xml:space="preserve">successfully captured a 4% market share in the corporate banking sector of</w:t>
      </w:r>
      <w:r>
        <w:t xml:space="preserve"> </w:t>
      </w:r>
      <w:r>
        <w:rPr>
          <w:bCs/>
          <w:b/>
        </w:rPr>
        <w:t xml:space="preserve">Doha</w:t>
      </w:r>
      <w:r>
        <w:t xml:space="preserve">, primarily driven by SMEs looking for flexible Islamic financing options.</w:t>
      </w:r>
    </w:p>
    <w:p>
      <w:pPr>
        <w:pStyle w:val="BodyText"/>
      </w:pPr>
      <w:r>
        <w:br/>
      </w:r>
      <w:r>
        <w:br/>
      </w:r>
      <w:r>
        <w:rPr>
          <w:bCs/>
          <w:b/>
        </w:rPr>
        <w:t xml:space="preserve">+35%</w:t>
      </w:r>
      <w:r>
        <w:br/>
      </w:r>
      <w:r>
        <w:t xml:space="preserve">Growth in Digital Customers</w:t>
      </w:r>
    </w:p>
    <w:p>
      <w:pPr>
        <w:pStyle w:val="BodyText"/>
      </w:pPr>
      <w:r>
        <w:br/>
      </w:r>
      <w:r>
        <w:br/>
      </w:r>
      <w:r>
        <w:rPr>
          <w:bCs/>
          <w:b/>
        </w:rPr>
        <w:t xml:space="preserve">$1.2B</w:t>
      </w:r>
      <w:r>
        <w:br/>
      </w:r>
      <w:r>
        <w:t xml:space="preserve">AUM in Islamic Products</w:t>
      </w:r>
    </w:p>
    <w:p>
      <w:pPr>
        <w:pStyle w:val="BodyText"/>
      </w:pPr>
      <w:r>
        <w:br/>
      </w:r>
      <w:r>
        <w:br/>
      </w:r>
      <w:r>
        <w:t xml:space="preserve">#1</w:t>
      </w:r>
      <w:r>
        <w:br/>
      </w:r>
      <w:r>
        <w:t xml:space="preserve">Rated CX in Doha App Store</w:t>
      </w:r>
    </w:p>
    <w:p>
      <w:pPr>
        <w:pStyle w:val="BodyText"/>
      </w:pPr>
      <w:r>
        <w:t xml:space="preserve">The digital transformation component proved particularly effective. Customer acquisition costs decreased by 20% due to the streamlined onboarding process designed for the tech-savvy residents of</w:t>
      </w:r>
      <w:r>
        <w:t xml:space="preserve"> </w:t>
      </w:r>
      <w:r>
        <w:rPr>
          <w:bCs/>
          <w:b/>
        </w:rPr>
        <w:t xml:space="preserve">Qatar Doha</w:t>
      </w:r>
      <w:r>
        <w:t xml:space="preserve">. Moreover, regulatory compliance audits passed with zero major findings, a testament to the robust AML frameworks implemented.</w:t>
      </w:r>
    </w:p>
    <w:bookmarkEnd w:id="28"/>
    <w:bookmarkStart w:id="29" w:name="challenges-and-lessons-learned"/>
    <w:p>
      <w:pPr>
        <w:pStyle w:val="Heading2"/>
      </w:pPr>
      <w:r>
        <w:t xml:space="preserve">6. Challenges and Lessons Learned</w:t>
      </w:r>
    </w:p>
    <w:p>
      <w:pPr>
        <w:pStyle w:val="FirstParagraph"/>
      </w:pPr>
      <w:r>
        <w:t xml:space="preserve">Despite the success, challenges persisted. The most significant hurdle was talent retention. The competitive job market in</w:t>
      </w:r>
      <w:r>
        <w:t xml:space="preserve"> </w:t>
      </w:r>
      <w:r>
        <w:rPr>
          <w:bCs/>
          <w:b/>
        </w:rPr>
        <w:t xml:space="preserve">Doha</w:t>
      </w:r>
      <w:r>
        <w:t xml:space="preserve">, fueled by high demand from other multinational corporations, led to higher-than-average attrition rates for skilled financial analysts. Additionally, geopolitical tensions in the broader region occasionally impacted sentiment among foreign investors residing in</w:t>
      </w:r>
      <w:r>
        <w:t xml:space="preserve"> </w:t>
      </w:r>
      <w:r>
        <w:rPr>
          <w:bCs/>
          <w:b/>
        </w:rPr>
        <w:t xml:space="preserve">Qatar Doha</w:t>
      </w:r>
      <w:r>
        <w:t xml:space="preserve">.</w:t>
      </w:r>
    </w:p>
    <w:p>
      <w:pPr>
        <w:pStyle w:val="BodyText"/>
      </w:pPr>
      <w:r>
        <w:t xml:space="preserve">A key lesson learned was the importance of "Glocalization." The</w:t>
      </w:r>
      <w:r>
        <w:t xml:space="preserve"> </w:t>
      </w:r>
      <w:r>
        <w:rPr>
          <w:bCs/>
          <w:b/>
        </w:rPr>
        <w:t xml:space="preserve">Banker</w:t>
      </w:r>
      <w:r>
        <w:t xml:space="preserve"> </w:t>
      </w:r>
      <w:r>
        <w:t xml:space="preserve">realized that while global standards were necessary for credibility, local customization was non-negotiable for acceptance. In</w:t>
      </w:r>
      <w:r>
        <w:t xml:space="preserve"> </w:t>
      </w:r>
      <w:r>
        <w:rPr>
          <w:bCs/>
          <w:b/>
        </w:rPr>
        <w:t xml:space="preserve">Doha</w:t>
      </w:r>
      <w:r>
        <w:t xml:space="preserve">, relationships matter as much as regulations. Building personal connections with key stakeholders in government and business sectors in</w:t>
      </w:r>
      <w:r>
        <w:t xml:space="preserve"> </w:t>
      </w:r>
      <w:r>
        <w:rPr>
          <w:bCs/>
          <w:b/>
        </w:rPr>
        <w:t xml:space="preserve">Qatar Doha</w:t>
      </w:r>
      <w:r>
        <w:t xml:space="preserve"> </w:t>
      </w:r>
      <w:r>
        <w:t xml:space="preserve">was instrumental in navigating bureaucratic hurdles.</w:t>
      </w:r>
    </w:p>
    <w:bookmarkEnd w:id="29"/>
    <w:bookmarkStart w:id="30" w:name="X088c93303cf60edae9ec0d7013c2c5917ed8766"/>
    <w:p>
      <w:pPr>
        <w:pStyle w:val="Heading2"/>
      </w:pPr>
      <w:r>
        <w:t xml:space="preserve">7. Future Outlook for the Banker in Qatar Doha</w:t>
      </w:r>
    </w:p>
    <w:p>
      <w:pPr>
        <w:pStyle w:val="FirstParagraph"/>
      </w:pPr>
      <w:r>
        <w:t xml:space="preserve">Moving forward, the</w:t>
      </w:r>
      <w:r>
        <w:t xml:space="preserve"> </w:t>
      </w:r>
      <w:r>
        <w:rPr>
          <w:bCs/>
          <w:b/>
        </w:rPr>
        <w:t xml:space="preserve">Banker</w:t>
      </w:r>
      <w:r>
        <w:t xml:space="preserve"> </w:t>
      </w:r>
      <w:r>
        <w:t xml:space="preserve">plans to expand its green finance portfolio, aligning with Qatar’s sustainability goals. This includes financing renewable energy projects and sustainable real estate developments across</w:t>
      </w:r>
      <w:r>
        <w:t xml:space="preserve"> </w:t>
      </w:r>
      <w:r>
        <w:rPr>
          <w:bCs/>
          <w:b/>
        </w:rPr>
        <w:t xml:space="preserve">Doha</w:t>
      </w:r>
      <w:r>
        <w:t xml:space="preserve">. The integration of Artificial Intelligence (AI) for predictive credit scoring is also on the horizon, aiming to further personalize services for clients in</w:t>
      </w:r>
      <w:r>
        <w:t xml:space="preserve"> </w:t>
      </w:r>
      <w:r>
        <w:rPr>
          <w:bCs/>
          <w:b/>
        </w:rPr>
        <w:t xml:space="preserve">Qatar Doha</w:t>
      </w:r>
      <w:r>
        <w:t xml:space="preserve">.</w:t>
      </w:r>
    </w:p>
    <w:p>
      <w:pPr>
        <w:pStyle w:val="BodyText"/>
      </w:pPr>
      <w:r>
        <w:t xml:space="preserve">The role of the</w:t>
      </w:r>
      <w:r>
        <w:t xml:space="preserve"> </w:t>
      </w:r>
      <w:r>
        <w:rPr>
          <w:bCs/>
          <w:b/>
        </w:rPr>
        <w:t xml:space="preserve">Banker</w:t>
      </w:r>
      <w:r>
        <w:t xml:space="preserve"> </w:t>
      </w:r>
      <w:r>
        <w:t xml:space="preserve">is evolving from a mere service provider to a strategic partner in Qatar’s national development. As</w:t>
      </w:r>
      <w:r>
        <w:t xml:space="preserve"> </w:t>
      </w:r>
      <w:r>
        <w:rPr>
          <w:bCs/>
          <w:b/>
        </w:rPr>
        <w:t xml:space="preserve">Doha</w:t>
      </w:r>
      <w:r>
        <w:t xml:space="preserve"> </w:t>
      </w:r>
      <w:r>
        <w:t xml:space="preserve">continues to position itself as a global hub for finance and sports, the ability of international financial institutions to adapt locally will determine their success.</w:t>
      </w:r>
    </w:p>
    <w:bookmarkEnd w:id="30"/>
    <w:bookmarkStart w:id="31" w:name="conclusion"/>
    <w:p>
      <w:pPr>
        <w:pStyle w:val="Heading2"/>
      </w:pPr>
      <w:r>
        <w:t xml:space="preserve">8. Conclusion</w:t>
      </w:r>
    </w:p>
    <w:p>
      <w:pPr>
        <w:pStyle w:val="FirstParagraph"/>
      </w:pPr>
      <w:r>
        <w:t xml:space="preserve">This case study underscores that successful banking operations in</w:t>
      </w:r>
      <w:r>
        <w:t xml:space="preserve"> </w:t>
      </w:r>
      <w:r>
        <w:rPr>
          <w:bCs/>
          <w:b/>
        </w:rPr>
        <w:t xml:space="preserve">Qatar Doha</w:t>
      </w:r>
      <w:r>
        <w:t xml:space="preserve"> </w:t>
      </w:r>
      <w:r>
        <w:t xml:space="preserve">require a nuanced blend of global expertise and local sensitivity. The</w:t>
      </w:r>
      <w:r>
        <w:t xml:space="preserve"> </w:t>
      </w:r>
      <w:r>
        <w:rPr>
          <w:bCs/>
          <w:b/>
        </w:rPr>
        <w:t xml:space="preserve">Banker</w:t>
      </w:r>
      <w:r>
        <w:t xml:space="preserve">'s journey highlights that while regulatory compliance and technological innovation are foundational, the human element—understanding the cultural context of</w:t>
      </w:r>
      <w:r>
        <w:t xml:space="preserve"> </w:t>
      </w:r>
      <w:r>
        <w:rPr>
          <w:bCs/>
          <w:b/>
        </w:rPr>
        <w:t xml:space="preserve">Doha</w:t>
      </w:r>
      <w:r>
        <w:t xml:space="preserve"> </w:t>
      </w:r>
      <w:r>
        <w:t xml:space="preserve">and respecting Islamic financial principles—is what truly drives sustainable growth. For any global financial institution looking to enter this dynamic market, the lesson is clear: respect the local ecosystem of</w:t>
      </w:r>
      <w:r>
        <w:t xml:space="preserve"> </w:t>
      </w:r>
      <w:r>
        <w:rPr>
          <w:bCs/>
          <w:b/>
        </w:rPr>
        <w:t xml:space="preserve">Qatar Doha</w:t>
      </w:r>
      <w:r>
        <w:t xml:space="preserve">, adapt your model accordingly, and prioritize long-term relationship building over short-term gains.</w:t>
      </w:r>
    </w:p>
    <w:p>
      <w:r>
        <w:pict>
          <v:rect style="width:0;height:1.5pt" o:hralign="center" o:hrstd="t" o:hr="t"/>
        </w:pict>
      </w:r>
    </w:p>
    <w:p>
      <w:pPr>
        <w:pStyle w:val="FirstParagraph"/>
      </w:pPr>
      <w:r>
        <w:rPr>
          <w:iCs/>
          <w:i/>
        </w:rPr>
        <w:t xml:space="preserve">This document serves as a comprehensive overview for stakeholders interested in the intersection of global banking strategies and regional market specifics in Qatar.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and Digital Transformation of a Global Banker in Qatar, Doha</dc:title>
  <dc:creator/>
  <cp:keywords/>
  <dcterms:created xsi:type="dcterms:W3CDTF">2026-07-29T05:43:57Z</dcterms:created>
  <dcterms:modified xsi:type="dcterms:W3CDTF">2026-07-29T05:43:57Z</dcterms:modified>
</cp:coreProperties>
</file>

<file path=docProps/custom.xml><?xml version="1.0" encoding="utf-8"?>
<Properties xmlns="http://schemas.openxmlformats.org/officeDocument/2006/custom-properties" xmlns:vt="http://schemas.openxmlformats.org/officeDocument/2006/docPropsVTypes"/>
</file>