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Banking</w:t>
      </w:r>
      <w:r>
        <w:t xml:space="preserve"> </w:t>
      </w:r>
      <w:r>
        <w:t xml:space="preserve">Solutions</w:t>
      </w:r>
      <w:r>
        <w:t xml:space="preserve"> </w:t>
      </w:r>
      <w:r>
        <w:t xml:space="preserve">for</w:t>
      </w:r>
      <w:r>
        <w:t xml:space="preserve"> </w:t>
      </w:r>
      <w:r>
        <w:t xml:space="preserve">High-Net-Worth</w:t>
      </w:r>
      <w:r>
        <w:t xml:space="preserve"> </w:t>
      </w:r>
      <w:r>
        <w:t xml:space="preserve">Individuals</w:t>
      </w:r>
      <w:r>
        <w:t xml:space="preserve"> </w:t>
      </w:r>
      <w:r>
        <w:t xml:space="preserve">in</w:t>
      </w:r>
      <w:r>
        <w:t xml:space="preserve"> </w:t>
      </w:r>
      <w:r>
        <w:t xml:space="preserve">Russia,</w:t>
      </w:r>
      <w:r>
        <w:t xml:space="preserve"> </w:t>
      </w:r>
      <w:r>
        <w:t xml:space="preserve">Moscow</w:t>
      </w:r>
    </w:p>
    <w:bookmarkStart w:id="31" w:name="X859193a4982a0acb41ee2536d17a43474fb71c5"/>
    <w:p>
      <w:pPr>
        <w:pStyle w:val="Heading1"/>
      </w:pPr>
      <w:r>
        <w:t xml:space="preserve">Case Study: The Modern Banker in the Heart of Russia, Moscow</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Strategic Analysis</w:t>
      </w:r>
      <w:r>
        <w:br/>
      </w:r>
      <w:r>
        <w:rPr>
          <w:bCs/>
          <w:b/>
        </w:rPr>
        <w:t xml:space="preserve">Jurisdiction:</w:t>
      </w:r>
      <w:r>
        <w:t xml:space="preserve"> </w:t>
      </w:r>
      <w:r>
        <w:t xml:space="preserve">Russian Federation, specifically Moscow</w:t>
      </w:r>
    </w:p>
    <w:bookmarkStart w:id="20" w:name="X82bf9f6e50dbbe9e25cd2311d83262dbb8ad29d"/>
    <w:p>
      <w:pPr>
        <w:pStyle w:val="Heading3"/>
      </w:pPr>
      <w:r>
        <w:rPr>
          <w:iCs/>
          <w:i/>
        </w:rPr>
        <w:t xml:space="preserve">This Case Study examines the evolving role of the Banker within the complex financial ecosystem of Russia, focusing on Moscow as a critical hub for high-net-worth individual (HNWI) wealth management amidst geopolitical shifts and economic sanctions.</w:t>
      </w:r>
    </w:p>
    <w:bookmarkEnd w:id="20"/>
    <w:bookmarkStart w:id="21" w:name="executive-summary"/>
    <w:p>
      <w:pPr>
        <w:pStyle w:val="Heading2"/>
      </w:pPr>
      <w:r>
        <w:t xml:space="preserve">1. Executive Summary</w:t>
      </w:r>
    </w:p>
    <w:p>
      <w:pPr>
        <w:pStyle w:val="FirstParagraph"/>
      </w:pPr>
      <w:r>
        <w:t xml:space="preserve">In recent years, the financial landscape of Russia has undergone profound transformation. At the center of this shift is Moscow, a city that remains a vital nexus for domestic capital circulation and international trade finance despite unprecedented external pressures. This case study analyzes the function and adaptation strategy of the modern Banker operating in this region. The primary objective is to understand how local banking institutions can maintain operational stability, ensure regulatory compliance with stringent international standards, and serve the sophisticated needs of their clientele in Moscow.</w:t>
      </w:r>
    </w:p>
    <w:p>
      <w:pPr>
        <w:pStyle w:val="BodyText"/>
      </w:pPr>
      <w:r>
        <w:t xml:space="preserve">The term "Banker" here refers not only to traditional retail bankers but also to relationship managers, private wealth advisors, and institutional clients who navigate the dual pressures of maintaining local market dominance while addressing global de-risking trends. The study highlights that success in Russia, particularly in the capital city of Moscow, requires a nuanced approach that blends deep local knowledge with rigorous international compliance frameworks.</w:t>
      </w:r>
    </w:p>
    <w:bookmarkEnd w:id="21"/>
    <w:bookmarkStart w:id="22" w:name="X55c3a0461845c04d9a12f9861e1ac3414718d53"/>
    <w:p>
      <w:pPr>
        <w:pStyle w:val="Heading2"/>
      </w:pPr>
      <w:r>
        <w:t xml:space="preserve">2. Contextual Background: The Unique Position of Russia and Moscow</w:t>
      </w:r>
    </w:p>
    <w:p>
      <w:pPr>
        <w:pStyle w:val="FirstParagraph"/>
      </w:pPr>
      <w:r>
        <w:t xml:space="preserve">Russia represents one of the most challenging yet lucrative markets for financial services globally. As the largest economy in Eastern Europe, its stability is heavily influenced by energy prices, geopolitical relations, and internal monetary policy. Moscow stands as the undisputed financial capital of Russia, housing over 60% of all corporate headquarters and a significant portion of private wealth.</w:t>
      </w:r>
    </w:p>
    <w:p>
      <w:pPr>
        <w:pStyle w:val="BodyText"/>
      </w:pPr>
      <w:r>
        <w:t xml:space="preserve">The banking sector in Moscow is characterized by high consolidation. A few major state-owned banks dominate the landscape, supplemented by robust private banking groups such as VTB Bank, Sberbank, Alfa-Bank, and Tinkoff. These institutions have had to rapidly adapt their infrastructures following sanctions imposed on key entities and individuals since 2014 and significantly escalated in 2022. The displacement of SWIFT connections for several major Russian banks forced a pivot toward alternative messaging systems like the System for Transfer of Financial Messages (SPFS) and increased reliance on China’s Cross-Border Interbank Payment System (CIPS).</w:t>
      </w:r>
    </w:p>
    <w:bookmarkEnd w:id="22"/>
    <w:bookmarkStart w:id="23" w:name="Xd7d7daaccf5672e11f408039423cad6dc8c55c0"/>
    <w:p>
      <w:pPr>
        <w:pStyle w:val="Heading2"/>
      </w:pPr>
      <w:r>
        <w:t xml:space="preserve">3. Problem Statement: The Challenges Facing the Banker</w:t>
      </w:r>
    </w:p>
    <w:p>
      <w:pPr>
        <w:pStyle w:val="FirstParagraph"/>
      </w:pPr>
      <w:r>
        <w:t xml:space="preserve">The contemporary Banker in Moscow faces a triad of complex challenges:</w:t>
      </w:r>
    </w:p>
    <w:p>
      <w:pPr>
        <w:numPr>
          <w:ilvl w:val="0"/>
          <w:numId w:val="1001"/>
        </w:numPr>
        <w:pStyle w:val="Compact"/>
      </w:pPr>
      <w:r>
        <w:rPr>
          <w:bCs/>
          <w:b/>
        </w:rPr>
        <w:t xml:space="preserve">Liquidity and Capital Access:</w:t>
      </w:r>
      <w:r>
        <w:t xml:space="preserve"> </w:t>
      </w:r>
      <w:r>
        <w:t xml:space="preserve">Sanctions have restricted access to Western capital markets. Bankers must find alternative funding sources, often looking toward Asian partners or leveraging domestic deposits.</w:t>
      </w:r>
    </w:p>
    <w:p>
      <w:pPr>
        <w:numPr>
          <w:ilvl w:val="0"/>
          <w:numId w:val="1001"/>
        </w:numPr>
        <w:pStyle w:val="Compact"/>
      </w:pPr>
      <w:r>
        <w:rPr>
          <w:bCs/>
          <w:b/>
        </w:rPr>
        <w:t xml:space="preserve">Compliance and Reputational Risk:</w:t>
      </w:r>
      <w:r>
        <w:t xml:space="preserve"> </w:t>
      </w:r>
      <w:r>
        <w:t xml:space="preserve">Ensuring that transactions do not inadvertently violate secondary sanctions is paramount. The Banker must implement enhanced due diligence (EDD) protocols to protect the bank from being cut off from any remaining international correspondent banking relationships.</w:t>
      </w:r>
    </w:p>
    <w:p>
      <w:pPr>
        <w:numPr>
          <w:ilvl w:val="0"/>
          <w:numId w:val="1001"/>
        </w:numPr>
        <w:pStyle w:val="Compact"/>
      </w:pPr>
      <w:r>
        <w:rPr>
          <w:bCs/>
          <w:b/>
        </w:rPr>
        <w:t xml:space="preserve">Currency Volatility:</w:t>
      </w:r>
      <w:r>
        <w:t xml:space="preserve"> </w:t>
      </w:r>
      <w:r>
        <w:t xml:space="preserve">Fluctuations in the Ruble against major currencies require sophisticated hedging strategies. Clients in Moscow are increasingly seeking assets denominated in gold, Yuan, or other non-sanctioned currencies to preserve wealth value.</w:t>
      </w:r>
    </w:p>
    <w:bookmarkEnd w:id="23"/>
    <w:bookmarkStart w:id="27" w:name="methodology-and-strategic-response"/>
    <w:p>
      <w:pPr>
        <w:pStyle w:val="Heading2"/>
      </w:pPr>
      <w:r>
        <w:t xml:space="preserve">4. Methodology and Strategic Response</w:t>
      </w:r>
    </w:p>
    <w:p>
      <w:pPr>
        <w:pStyle w:val="FirstParagraph"/>
      </w:pPr>
      <w:r>
        <w:t xml:space="preserve">To address these challenges, leading banks in Moscow have adopted a multi-pronged strategy focused on "Import Substitution" within financial services and diversification of trade partners.</w:t>
      </w:r>
    </w:p>
    <w:bookmarkStart w:id="24" w:name="a.-diversification-of-payment-corridors"/>
    <w:p>
      <w:pPr>
        <w:pStyle w:val="Heading3"/>
      </w:pPr>
      <w:r>
        <w:rPr>
          <w:bCs/>
          <w:b/>
        </w:rPr>
        <w:t xml:space="preserve">A. Diversification of Payment Corridors</w:t>
      </w:r>
    </w:p>
    <w:p>
      <w:pPr>
        <w:pStyle w:val="FirstParagraph"/>
      </w:pPr>
      <w:r>
        <w:t xml:space="preserve">The Banker’s role has expanded to include facilitating payments through third-party jurisdictions. By establishing correspondent relationships with banks in Turkey, the UAE, Kazakhstan, and China, Moscow-based bankers ensure that their clients can continue international trade operations. This requires intricate knowledge of local regulations in these transit countries to avoid inadvertent sanction breaches.</w:t>
      </w:r>
    </w:p>
    <w:bookmarkEnd w:id="24"/>
    <w:bookmarkStart w:id="25" w:name="X4bcff177e846befd5b9b15c2a2e9b58f13e8d43"/>
    <w:p>
      <w:pPr>
        <w:pStyle w:val="Heading3"/>
      </w:pPr>
      <w:r>
        <w:rPr>
          <w:bCs/>
          <w:b/>
        </w:rPr>
        <w:t xml:space="preserve">B. Digital Transformation as a Defense Mechanism</w:t>
      </w:r>
    </w:p>
    <w:p>
      <w:pPr>
        <w:pStyle w:val="FirstParagraph"/>
      </w:pPr>
      <w:r>
        <w:t xml:space="preserve">Moscow’s banking sector has accelerated digital adoption. Fintech solutions, including mobile banking apps and blockchain-based supply chain finance tools, have been deployed to reduce reliance on traditional correspondent networks. For the individual Banker interacting with clients in Moscow, this means offering seamless digital experiences even as physical infrastructure limitations arise.</w:t>
      </w:r>
    </w:p>
    <w:bookmarkEnd w:id="25"/>
    <w:bookmarkStart w:id="26" w:name="X0a1b4905b49dd7ae44fbe90b01102818eca8457"/>
    <w:p>
      <w:pPr>
        <w:pStyle w:val="Heading3"/>
      </w:pPr>
      <w:r>
        <w:rPr>
          <w:bCs/>
          <w:b/>
        </w:rPr>
        <w:t xml:space="preserve">C. Enhanced Client Relationship Management</w:t>
      </w:r>
    </w:p>
    <w:p>
      <w:pPr>
        <w:pStyle w:val="FirstParagraph"/>
      </w:pPr>
      <w:r>
        <w:t xml:space="preserve">The modern Banker in Russia acts less as a transaction processor and more as a strategic advisor. Clients demand transparency regarding the safety of their assets. Consequently, bankers provide comprehensive risk assessments, focusing on domestic equities, real estate within Moscow’s premium segments, and gold investments. Trust is maintained through personalized service that acknowledges the unique risks of operating in this specific geopolitical context.</w:t>
      </w:r>
    </w:p>
    <w:bookmarkEnd w:id="26"/>
    <w:bookmarkEnd w:id="27"/>
    <w:bookmarkStart w:id="28" w:name="case-analysis-a-hypothetical-scenario"/>
    <w:p>
      <w:pPr>
        <w:pStyle w:val="Heading2"/>
      </w:pPr>
      <w:r>
        <w:t xml:space="preserve">5. Case Analysis: A Hypothetical Scenario</w:t>
      </w:r>
    </w:p>
    <w:p>
      <w:pPr>
        <w:pStyle w:val="FirstParagraph"/>
      </w:pPr>
      <w:r>
        <w:rPr>
          <w:bCs/>
          <w:b/>
        </w:rPr>
        <w:t xml:space="preserve">The Client:</w:t>
      </w:r>
      <w:r>
        <w:t xml:space="preserve"> </w:t>
      </w:r>
      <w:r>
        <w:t xml:space="preserve">A major manufacturing conglomerate based in Moscow requiring cross-border payments for raw materials from Central Asia.</w:t>
      </w:r>
    </w:p>
    <w:p>
      <w:pPr>
        <w:pStyle w:val="BodyText"/>
      </w:pPr>
      <w:r>
        <w:br/>
      </w:r>
    </w:p>
    <w:p>
      <w:pPr>
        <w:pStyle w:val="BodyText"/>
      </w:pPr>
      <w:r>
        <w:rPr>
          <w:bCs/>
          <w:b/>
        </w:rPr>
        <w:t xml:space="preserve">The Challenge:</w:t>
      </w:r>
      <w:r>
        <w:t xml:space="preserve"> </w:t>
      </w:r>
      <w:r>
        <w:t xml:space="preserve">The client’s traditional payment route through a German bank was severed due to sanctions. Time-sensitive deliveries were at risk, potentially halting production lines.</w:t>
      </w:r>
    </w:p>
    <w:p>
      <w:pPr>
        <w:pStyle w:val="BodyText"/>
      </w:pPr>
      <w:r>
        <w:br/>
      </w:r>
    </w:p>
    <w:p>
      <w:pPr>
        <w:pStyle w:val="BodyText"/>
      </w:pPr>
      <w:r>
        <w:rPr>
          <w:bCs/>
          <w:b/>
        </w:rPr>
        <w:t xml:space="preserve">The Banker’s Intervention:</w:t>
      </w:r>
      <w:r>
        <w:t xml:space="preserve"> </w:t>
      </w:r>
      <w:r>
        <w:t xml:space="preserve">The assigned Banker utilized the bank’s established network in Kazakhstan. By structuring the transaction as a barter-like agreement facilitated through a Kazakh intermediary bank that accepted Rubles and Tenge settlements, the payment was successfully processed via SPFS. Additionally, the Banker advised on hedging currency risk against volatility by locking in forward contracts for Tenge.</w:t>
      </w:r>
    </w:p>
    <w:p>
      <w:pPr>
        <w:pStyle w:val="BodyText"/>
      </w:pPr>
      <w:r>
        <w:br/>
      </w:r>
    </w:p>
    <w:p>
      <w:pPr>
        <w:pStyle w:val="BodyText"/>
      </w:pPr>
      <w:r>
        <w:rPr>
          <w:bCs/>
          <w:b/>
        </w:rPr>
        <w:t xml:space="preserve">The Outcome:</w:t>
      </w:r>
      <w:r>
        <w:t xml:space="preserve"> </w:t>
      </w:r>
      <w:r>
        <w:t xml:space="preserve">The client maintained supply chain continuity. The relationship deepened, leading to a 20% increase in retained assets within the Moscow-based private banking division over the following fiscal year.</w:t>
      </w:r>
    </w:p>
    <w:bookmarkEnd w:id="28"/>
    <w:bookmarkStart w:id="29" w:name="results-and-key-performance-indicators"/>
    <w:p>
      <w:pPr>
        <w:pStyle w:val="Heading2"/>
      </w:pPr>
      <w:r>
        <w:t xml:space="preserve">6. Results and Key Performance Indicators</w:t>
      </w:r>
    </w:p>
    <w:p>
      <w:pPr>
        <w:pStyle w:val="FirstParagraph"/>
      </w:pPr>
      <w:r>
        <w:t xml:space="preserve">The strategic pivot has yielded mixed but generally positive results for institutions willing to adapt:</w:t>
      </w:r>
    </w:p>
    <w:p>
      <w:pPr>
        <w:numPr>
          <w:ilvl w:val="0"/>
          <w:numId w:val="1002"/>
        </w:numPr>
        <w:pStyle w:val="Compact"/>
      </w:pPr>
      <w:r>
        <w:rPr>
          <w:bCs/>
          <w:b/>
        </w:rPr>
        <w:t xml:space="preserve">Growth in Domestic Deposits:</w:t>
      </w:r>
      <w:r>
        <w:t xml:space="preserve"> </w:t>
      </w:r>
      <w:r>
        <w:t xml:space="preserve">Despite inflation, deposits in major Moscow banks have stabilized as citizens seek safe harbors.</w:t>
      </w:r>
    </w:p>
    <w:p>
      <w:pPr>
        <w:numPr>
          <w:ilvl w:val="0"/>
          <w:numId w:val="1002"/>
        </w:numPr>
        <w:pStyle w:val="Compact"/>
      </w:pPr>
      <w:r>
        <w:rPr>
          <w:bCs/>
          <w:b/>
        </w:rPr>
        <w:t xml:space="preserve">Traffic on Alternative Systems:</w:t>
      </w:r>
      <w:r>
        <w:t xml:space="preserve"> </w:t>
      </w:r>
      <w:r>
        <w:t xml:space="preserve">Volume on SPFS and CIPS has increased by over 400% year-over-year.</w:t>
      </w:r>
    </w:p>
    <w:p>
      <w:pPr>
        <w:numPr>
          <w:ilvl w:val="0"/>
          <w:numId w:val="1002"/>
        </w:numPr>
        <w:pStyle w:val="Compact"/>
      </w:pPr>
      <w:r>
        <w:rPr>
          <w:bCs/>
          <w:b/>
        </w:rPr>
        <w:t xml:space="preserve">Maintenance of HNW Isolation:</w:t>
      </w:r>
      <w:r>
        <w:t xml:space="preserve"> </w:t>
      </w:r>
      <w:r>
        <w:t xml:space="preserve">While international trade faced hurdles, domestic wealth management in Moscow remained resilient, preserving the core profitability of private banking divisions.</w:t>
      </w:r>
    </w:p>
    <w:bookmarkEnd w:id="29"/>
    <w:bookmarkStart w:id="30" w:name="conclusion-and-future-outlook"/>
    <w:p>
      <w:pPr>
        <w:pStyle w:val="Heading2"/>
      </w:pPr>
      <w:r>
        <w:t xml:space="preserve">7. Conclusion and Future Outlook</w:t>
      </w:r>
    </w:p>
    <w:p>
      <w:pPr>
        <w:pStyle w:val="FirstParagraph"/>
      </w:pPr>
      <w:r>
        <w:t xml:space="preserve">The case of the Banker in Russia, Moscow, demonstrates that even under severe isolationist pressures, financial intermediaries can remain effective by leveraging regional integration and technological innovation. The definition of the Banker’s role has evolved from a global gatekeeper to a localized bridge-builder.</w:t>
      </w:r>
    </w:p>
    <w:p>
      <w:pPr>
        <w:pStyle w:val="BodyText"/>
      </w:pPr>
      <w:r>
        <w:t xml:space="preserve">For future operations in this region, it is critical for international observers and participants to understand that Moscow remains a dynamic financial center. Its resilience lies not in breaking laws, but in creatively navigating them within the bounds of local regulation and emerging trade blocs. The Banker who succeeds here is one who combines forensic compliance with agile operational tactics.</w:t>
      </w:r>
    </w:p>
    <w:p>
      <w:pPr>
        <w:pStyle w:val="BodyText"/>
      </w:pPr>
      <w:r>
        <w:rPr>
          <w:bCs/>
          <w:b/>
        </w:rPr>
        <w:t xml:space="preserve">Final Recommendation:</w:t>
      </w:r>
      <w:r>
        <w:t xml:space="preserve"> </w:t>
      </w:r>
      <w:r>
        <w:t xml:space="preserve">Stakeholders should monitor the further development of digital currencies and regional settlement mechanisms as these will likely dictate the next phase of banking evolution in Russia, Moscow, and beyond. Continuous education on sanctions regimes remains the single most important competency for any Banker operating in this jurisdiction.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Banking Solutions for High-Net-Worth Individuals in Russia, Moscow</dc:title>
  <dc:creator/>
  <cp:keywords/>
  <dcterms:created xsi:type="dcterms:W3CDTF">2026-07-29T07:17:13Z</dcterms:created>
  <dcterms:modified xsi:type="dcterms:W3CDTF">2026-07-29T07:17:13Z</dcterms:modified>
</cp:coreProperties>
</file>

<file path=docProps/custom.xml><?xml version="1.0" encoding="utf-8"?>
<Properties xmlns="http://schemas.openxmlformats.org/officeDocument/2006/custom-properties" xmlns:vt="http://schemas.openxmlformats.org/officeDocument/2006/docPropsVTypes"/>
</file>