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case-study-report"/>
    <w:p>
      <w:pPr>
        <w:pStyle w:val="Heading1"/>
      </w:pPr>
      <w:r>
        <w:t xml:space="preserve">Case Study Report</w:t>
      </w:r>
    </w:p>
    <w:p>
      <w:pPr>
        <w:pStyle w:val="FirstParagraph"/>
      </w:pPr>
      <w:r>
        <w:rPr>
          <w:bCs/>
          <w:b/>
        </w:rPr>
        <w:t xml:space="preserve">Title:</w:t>
      </w:r>
      <w:r>
        <w:t xml:space="preserve"> </w:t>
      </w:r>
      <w:r>
        <w:t xml:space="preserve">The Modern Banker in Saudi Arabia Riyadh:</w:t>
      </w:r>
      <w:r>
        <w:br/>
      </w:r>
      <w:r>
        <w:t xml:space="preserve">Navigating Vision 2030, Digital Transformation, and Islamic Finance Compliance</w:t>
      </w:r>
    </w:p>
    <w:p>
      <w:pPr>
        <w:pStyle w:val="BodyText"/>
      </w:pPr>
      <w:r>
        <w:rPr>
          <w:bCs/>
          <w:b/>
        </w:rPr>
        <w:t xml:space="preserve">Date:</w:t>
      </w:r>
      <w:r>
        <w:t xml:space="preserve"> </w:t>
      </w:r>
      <w:r>
        <w:t xml:space="preserve">October 26, 2023</w:t>
      </w:r>
      <w:r>
        <w:br/>
      </w:r>
      <w:r>
        <w:t xml:space="preserve">**Region:** Saudi Arabia Riyadh**</w:t>
      </w:r>
      <w:r>
        <w:br/>
      </w:r>
      <w:r>
        <w:t xml:space="preserve">**Subject:** Banking Sector Analysis &amp; Professional Evolution</w:t>
      </w:r>
    </w:p>
    <w:bookmarkEnd w:id="20"/>
    <w:bookmarkStart w:id="21" w:name="executive-summary"/>
    <w:p>
      <w:pPr>
        <w:pStyle w:val="Heading2"/>
      </w:pPr>
      <w:r>
        <w:t xml:space="preserve">Executive Summary</w:t>
      </w:r>
    </w:p>
    <w:p>
      <w:pPr>
        <w:pStyle w:val="FirstParagraph"/>
      </w:pPr>
      <w:r>
        <w:t xml:space="preserve">This case study examines the transformative role of the modern</w:t>
      </w:r>
      <w:r>
        <w:t xml:space="preserve"> </w:t>
      </w:r>
      <w:r>
        <w:rPr>
          <w:bCs/>
          <w:b/>
        </w:rPr>
        <w:t xml:space="preserve">Banker</w:t>
      </w:r>
      <w:r>
        <w:t xml:space="preserve"> </w:t>
      </w:r>
      <w:r>
        <w:t xml:space="preserve">within the financial ecosystem of</w:t>
      </w:r>
      <w:r>
        <w:t xml:space="preserve"> </w:t>
      </w:r>
      <w:r>
        <w:rPr>
          <w:bCs/>
          <w:b/>
        </w:rPr>
        <w:t xml:space="preserve">Saudi Arabia Riyadh</w:t>
      </w:r>
      <w:r>
        <w:t xml:space="preserve">. As the capital and economic heart of the Kingdom, Riyadh has undergone a radical metamorphosis from an oil-dependent administrative center to a global hub for diversified finance, technology, and innovation. This document explores how professional bankers in this region are adapting to the sweeping changes mandated by Vision 2030. It analyzes the intersection of traditional Islamic banking principles with cutting-edge fintech solutions, highlighting the unique challenges and opportunities faced by financial professionals in one of the Middle East’s most dynamic markets.</w:t>
      </w:r>
    </w:p>
    <w:bookmarkEnd w:id="21"/>
    <w:bookmarkStart w:id="23" w:name="background"/>
    <w:bookmarkStart w:id="22" w:name="X7771abe9b993baea1bdcac2e9d4b55ad40f4ea7"/>
    <w:p>
      <w:pPr>
        <w:pStyle w:val="Heading2"/>
      </w:pPr>
      <w:r>
        <w:t xml:space="preserve">Background: The Context of Saudi Arabia Riyadh</w:t>
      </w:r>
    </w:p>
    <w:p>
      <w:pPr>
        <w:pStyle w:val="FirstParagraph"/>
      </w:pPr>
      <w:r>
        <w:t xml:space="preserve">The Kingdom of Saudi Arabia has initiated a comprehensive economic restructuring plan known as Vision 2030. Aimed at reducing dependence on oil, diversifying the economy, and developing public service sectors such as healthcare, education, infrastructure, recreation, and tourism,</w:t>
      </w:r>
      <w:r>
        <w:rPr>
          <w:bCs/>
          <w:b/>
        </w:rPr>
        <w:t xml:space="preserve">Saudi Arabia Riyadh</w:t>
      </w:r>
      <w:r>
        <w:t xml:space="preserve"> </w:t>
      </w:r>
      <w:r>
        <w:t xml:space="preserve">stands at the epicenter of this transformation. The city is home to the headquarters of numerous state-owned enterprises and foreign multinational corporations.</w:t>
      </w:r>
    </w:p>
    <w:p>
      <w:pPr>
        <w:pStyle w:val="BodyText"/>
      </w:pPr>
      <w:r>
        <w:t xml:space="preserve">In this context,</w:t>
      </w:r>
      <w:r>
        <w:rPr>
          <w:iCs/>
          <w:i/>
        </w:rPr>
        <w:t xml:space="preserve">saudi arabia riyadh banking</w:t>
      </w:r>
      <w:r>
        <w:br/>
      </w:r>
      <w:r>
        <w:t xml:space="preserve">**The Role of the Banker:**</w:t>
      </w:r>
      <w:r>
        <w:br/>
      </w:r>
      <w:r>
        <w:t xml:space="preserve">The traditional role of a banker in Riyadh has expanded significantly. Historically focused on custodial services and oil-sector financing, today’s</w:t>
      </w:r>
      <w:r>
        <w:t xml:space="preserve"> </w:t>
      </w:r>
      <w:r>
        <w:rPr>
          <w:bCs/>
          <w:b/>
        </w:rPr>
        <w:t xml:space="preserve">Banker</w:t>
      </w:r>
      <w:r>
        <w:t xml:space="preserve"> </w:t>
      </w:r>
      <w:r>
        <w:t xml:space="preserve">must possess a multifaceted skill set. They are no longer merely custodians of capital but strategic advisors who facilitate foreign direct investment (FDI), support small and medium-sized enterprises (SMEs), and ensure strict adherence to Sharia-compliant financial structures.</w:t>
      </w:r>
    </w:p>
    <w:p>
      <w:pPr>
        <w:pStyle w:val="BodyText"/>
      </w:pPr>
      <w:r>
        <w:t xml:space="preserve">The regulatory landscape, overseen by the Saudi Central Bank (SAMA) in</w:t>
      </w:r>
      <w:r>
        <w:t xml:space="preserve"> </w:t>
      </w:r>
      <w:r>
        <w:rPr>
          <w:bCs/>
          <w:b/>
        </w:rPr>
        <w:t xml:space="preserve">Saudi Arabia Riyadh</w:t>
      </w:r>
      <w:r>
        <w:t xml:space="preserve">, is rigorous. It demands that every banker demonstrate high ethical standards, deep local market knowledge, and proficiency in international banking regulations. This has led to a professionalization of the sector, with an increased emphasis on continuous education and certification.</w:t>
      </w:r>
    </w:p>
    <w:bookmarkEnd w:id="22"/>
    <w:bookmarkEnd w:id="23"/>
    <w:bookmarkStart w:id="28" w:name="challenges"/>
    <w:bookmarkStart w:id="27" w:name="Xde37db46df9b8bc378a42641bc35d046b072652"/>
    <w:p>
      <w:pPr>
        <w:pStyle w:val="Heading2"/>
      </w:pPr>
      <w:r>
        <w:t xml:space="preserve">Key Challenges Facing Bankers in the Region</w:t>
      </w:r>
    </w:p>
    <w:bookmarkStart w:id="24" w:name="Xdfa81ae4b653dff0767580dfb00ca3e28d48056"/>
    <w:p>
      <w:pPr>
        <w:pStyle w:val="Heading3"/>
      </w:pPr>
      <w:r>
        <w:t xml:space="preserve">1. Regulatory Compliance and Sharia Governance</w:t>
      </w:r>
    </w:p>
    <w:p>
      <w:pPr>
        <w:pStyle w:val="FirstParagraph"/>
      </w:pPr>
      <w:r>
        <w:t xml:space="preserve">A defining characteristic of banking in Saudi Arabia is the prevalence of Islamic Finance. Most major banks operate on dual banking windows, offering both conventional and Sharia-compliant products. For a</w:t>
      </w:r>
      <w:r>
        <w:t xml:space="preserve"> </w:t>
      </w:r>
      <w:r>
        <w:rPr>
          <w:bCs/>
          <w:b/>
        </w:rPr>
        <w:t xml:space="preserve">Banker</w:t>
      </w:r>
      <w:r>
        <w:t xml:space="preserve">, this necessitates a profound understanding of Islamic commercial law (Fiqh al-Muamalat). Transactions cannot involve interest (Riba), excessive uncertainty (Gharar), or investment in prohibited industries. Navigating the dual regulatory framework requires meticulous documentation and legal structuring, making compliance a central pillar of the banker’s daily workflow.</w:t>
      </w:r>
    </w:p>
    <w:bookmarkEnd w:id="24"/>
    <w:bookmarkStart w:id="25" w:name="X5a8d43bbdd838ea1a4d5ecb62a2680de0119846"/>
    <w:p>
      <w:pPr>
        <w:pStyle w:val="Heading3"/>
      </w:pPr>
      <w:r>
        <w:t xml:space="preserve">2. Digital Disruption and Fintech Integration</w:t>
      </w:r>
    </w:p>
    <w:p>
      <w:pPr>
        <w:pStyle w:val="FirstParagraph"/>
      </w:pPr>
      <w:r>
        <w:t xml:space="preserve">The population in</w:t>
      </w:r>
      <w:r>
        <w:t xml:space="preserve"> </w:t>
      </w:r>
      <w:r>
        <w:rPr>
          <w:bCs/>
          <w:b/>
        </w:rPr>
        <w:t xml:space="preserve">Saudi Arabia Riyadh</w:t>
      </w:r>
      <w:r>
        <w:t xml:space="preserve">** is highly digitized, with one of the highest smartphone penetration rates globally. Traditional brick-and-mortar branches are losing relevance as customers expect seamless digital experiences. Bankers are under pressure to adopt new technologies while maintaining security and trust. The rise of fintech startups in Riyadh creates both competition and collaboration opportunities. Bankers must now understand blockchain, artificial intelligence in credit scoring, and mobile payment ecosystems to remain relevant.</w:t>
      </w:r>
    </w:p>
    <w:bookmarkEnd w:id="25"/>
    <w:bookmarkStart w:id="26" w:name="talent-localization-saudization"/>
    <w:p>
      <w:pPr>
        <w:pStyle w:val="Heading3"/>
      </w:pPr>
      <w:r>
        <w:t xml:space="preserve">3. Talent Localization (Saudization)</w:t>
      </w:r>
    </w:p>
    <w:p>
      <w:pPr>
        <w:pStyle w:val="FirstParagraph"/>
      </w:pPr>
      <w:r>
        <w:t xml:space="preserve">The Saudi government’s Nitaqat program (Saudization) mandates the employment of qualified Saudi nationals in both private and public sectors. For banks, this means a massive shift in workforce dynamics. While there is a strong pool of young, educated Saudis entering the financial sector, there is often a skills gap regarding international banking practices. Bankers must invest heavily in training and mentorship programs to bridge this gap, ensuring that local talent can compete on a global stage.</w:t>
      </w:r>
    </w:p>
    <w:bookmarkEnd w:id="26"/>
    <w:bookmarkEnd w:id="27"/>
    <w:bookmarkEnd w:id="28"/>
    <w:bookmarkStart w:id="33" w:name="opportunities"/>
    <w:bookmarkStart w:id="32" w:name="X62d910701262fdc699f41b5433416fc8f238e95"/>
    <w:p>
      <w:pPr>
        <w:pStyle w:val="Heading2"/>
      </w:pPr>
      <w:r>
        <w:t xml:space="preserve">Strategic Opportunities for the Modern Banker</w:t>
      </w:r>
    </w:p>
    <w:bookmarkStart w:id="29" w:name="the-neom-and-giga-projects-financing"/>
    <w:p>
      <w:pPr>
        <w:pStyle w:val="Heading3"/>
      </w:pPr>
      <w:r>
        <w:t xml:space="preserve">The Neom and Giga-Projects Financing</w:t>
      </w:r>
    </w:p>
    <w:p>
      <w:pPr>
        <w:pStyle w:val="FirstParagraph"/>
      </w:pPr>
      <w:r>
        <w:t xml:space="preserve">Riyadh is the logistical and financial hub for several "Giga-Projects," including NEOM, The Line, and Qiddiya. These projects require billions in capital financing. Bankers in Riyadh are positioned to lead syndicated loans, structure complex project finance deals, and manage risk for these massive undertakings. This offers a unique opportunity for bankers to work on landmark international infrastructure deals that will define the future of the region.</w:t>
      </w:r>
    </w:p>
    <w:bookmarkEnd w:id="29"/>
    <w:bookmarkStart w:id="30" w:name="diversification-into-sme-lending"/>
    <w:p>
      <w:pPr>
        <w:pStyle w:val="Heading3"/>
      </w:pPr>
      <w:r>
        <w:t xml:space="preserve">Diversification into SME Lending</w:t>
      </w:r>
    </w:p>
    <w:p>
      <w:pPr>
        <w:pStyle w:val="FirstParagraph"/>
      </w:pPr>
      <w:r>
        <w:t xml:space="preserve">Vision 2030 places a strong emphasis on empowering SMEs to contribute more significantly to GDP. Historically, banks were hesitant to lend to smaller businesses due to risk perceptions. However, new government guarantee schemes and data-driven credit scoring models are changing this landscape. Bankers who specialize in SME lending play a crucial role in fostering entrepreneurship and economic diversification in</w:t>
      </w:r>
      <w:r>
        <w:t xml:space="preserve"> </w:t>
      </w:r>
      <w:r>
        <w:rPr>
          <w:bCs/>
          <w:b/>
        </w:rPr>
        <w:t xml:space="preserve">Saudi Arabia Riyadh</w:t>
      </w:r>
      <w:r>
        <w:t xml:space="preserve">.</w:t>
      </w:r>
    </w:p>
    <w:bookmarkEnd w:id="30"/>
    <w:bookmarkStart w:id="31" w:name="green-finance-and-sustainability"/>
    <w:p>
      <w:pPr>
        <w:pStyle w:val="Heading3"/>
      </w:pPr>
      <w:r>
        <w:t xml:space="preserve">Green Finance and Sustainability</w:t>
      </w:r>
    </w:p>
    <w:p>
      <w:pPr>
        <w:pStyle w:val="FirstParagraph"/>
      </w:pPr>
      <w:r>
        <w:t xml:space="preserve">The Kingdom is increasingly committing to environmental sustainability. The issuance of Sukuk (Islamic bonds) for green projects is growing. Bankers are finding new avenues in sustainable finance, structuring products that support renewable energy initiatives within Saudi Arabia. This aligns with global ESG (Environmental, Social, and Governance) trends and attracts international investors looking for ethical investment opportunities.</w:t>
      </w:r>
    </w:p>
    <w:bookmarkEnd w:id="31"/>
    <w:bookmarkEnd w:id="32"/>
    <w:bookmarkEnd w:id="33"/>
    <w:bookmarkStart w:id="35" w:name="case-example"/>
    <w:bookmarkStart w:id="34" w:name="X258e1098f5c3f75ac336dd700452d588c1d4c3c"/>
    <w:p>
      <w:pPr>
        <w:pStyle w:val="Heading2"/>
      </w:pPr>
      <w:r>
        <w:t xml:space="preserve">Illustrative Case: The Digital Transformation of a Riyadh-Based Bank</w:t>
      </w:r>
    </w:p>
    <w:p>
      <w:pPr>
        <w:pStyle w:val="FirstParagraph"/>
      </w:pPr>
      <w:r>
        <w:t xml:space="preserve">To illustrate these dynamics, consider the case of "Al-Madina National Bank" (a pseudonym for a leading regional bank). In 2018, the bank faced declining branch footfall and customer churn among younger demographics. Management tasked its senior bankers with redesigning the customer experience.</w:t>
      </w:r>
    </w:p>
    <w:p>
      <w:pPr>
        <w:pStyle w:val="BodyText"/>
      </w:pPr>
      <w:r>
        <w:t xml:space="preserve">The bankers collaborated with fintech partners to launch a hybrid banking platform. This platform integrated AI-driven chatbots for basic inquiries, while complex financial planning was handled by human advisors via video calls. Crucially, the bank ensured all digital products were Sharia-certified, displaying compliance certificates prominently within the app.</w:t>
      </w:r>
    </w:p>
    <w:p>
      <w:pPr>
        <w:pStyle w:val="BodyText"/>
      </w:pPr>
      <w:r>
        <w:t xml:space="preserve">The result was a 40% increase in mobile app usage and a 25% growth in SME loan applications within two years. This case demonstrates that when bankers combine technological agility with cultural and religious sensitivity, they can drive substantial business growth. The success relied not just on technology, but on the bankers’ ability to interpret customer needs within the specific context of</w:t>
      </w:r>
      <w:r>
        <w:t xml:space="preserve"> </w:t>
      </w:r>
      <w:r>
        <w:rPr>
          <w:bCs/>
          <w:b/>
        </w:rPr>
        <w:t xml:space="preserve">Saudi Arabia Riyadh</w:t>
      </w:r>
      <w:r>
        <w:t xml:space="preserve">.</w:t>
      </w:r>
    </w:p>
    <w:bookmarkEnd w:id="34"/>
    <w:bookmarkEnd w:id="35"/>
    <w:bookmarkStart w:id="36" w:name="conclusion"/>
    <w:p>
      <w:pPr>
        <w:pStyle w:val="Heading2"/>
      </w:pPr>
      <w:r>
        <w:t xml:space="preserve">Conclusion</w:t>
      </w:r>
    </w:p>
    <w:p>
      <w:pPr>
        <w:pStyle w:val="FirstParagraph"/>
      </w:pPr>
      <w:r>
        <w:t xml:space="preserve">The role of the</w:t>
      </w:r>
      <w:r>
        <w:t xml:space="preserve"> </w:t>
      </w:r>
      <w:r>
        <w:rPr>
          <w:bCs/>
          <w:b/>
        </w:rPr>
        <w:t xml:space="preserve">Banker</w:t>
      </w:r>
      <w:r>
        <w:br/>
      </w:r>
      <w:r>
        <w:t xml:space="preserve">The future belongs to bankers who are agile, culturally competent, and technologically savvy. As</w:t>
      </w:r>
      <w:r>
        <w:t xml:space="preserve"> </w:t>
      </w:r>
      <w:r>
        <w:rPr>
          <w:bCs/>
          <w:b/>
        </w:rPr>
        <w:t xml:space="preserve">Saudi Arabia Riyadh</w:t>
      </w:r>
      <w:r>
        <w:t xml:space="preserve">** continues to solidify its status as a global financial center, the demand for high-quality financial services will only increase. The modern banker must be a bridge between tradition and innovation, ensuring that the Kingdom’s rich heritage in Islamic finance coexists harmoniously with the rapid pace of digital change.</w:t>
      </w:r>
    </w:p>
    <w:p>
      <w:pPr>
        <w:pStyle w:val="BodyText"/>
      </w:pPr>
      <w:r>
        <w:t xml:space="preserve">In conclusion, this case study highlights that success in</w:t>
      </w:r>
      <w:r>
        <w:t xml:space="preserve"> </w:t>
      </w:r>
      <w:r>
        <w:rPr>
          <w:bCs/>
          <w:b/>
        </w:rPr>
        <w:t xml:space="preserve">Saudi Arabia Riyadh</w:t>
      </w:r>
      <w:r>
        <w:t xml:space="preserve">**’s banking sector is not merely about capital allocation; it is about strategic partnership, regulatory mastery, and a deep commitment to the economic vision of the nation. The bankers who thrive will be those who view themselves as architects of Saudi Arabia’s diversified future.</w:t>
      </w:r>
    </w:p>
    <w:bookmarkEnd w:id="36"/>
    <w:p>
      <w:pPr>
        <w:pStyle w:val="BodyText"/>
      </w:pPr>
      <w:r>
        <w:rPr>
          <w:iCs/>
          <w:i/>
        </w:rPr>
        <w:t xml:space="preserve">This document was generated for educational and analytical purposes regarding the banking sector in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Impact of the Banker in Saudi Arabia Riyadh</dc:title>
  <dc:creator/>
  <dc:language>en</dc:language>
  <cp:keywords/>
  <dcterms:created xsi:type="dcterms:W3CDTF">2026-07-29T07:52:22Z</dcterms:created>
  <dcterms:modified xsi:type="dcterms:W3CDTF">2026-07-29T07:52:22Z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