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Singapore</w:t>
      </w:r>
    </w:p>
    <w:bookmarkStart w:id="27" w:name="X729f900398a549a9e65998ce21fae237e06522f"/>
    <w:p>
      <w:pPr>
        <w:pStyle w:val="Heading1"/>
      </w:pPr>
      <w:r>
        <w:t xml:space="preserve">The Modern Banker in Singapore Singapore: A Comprehensive Case Study</w:t>
      </w:r>
    </w:p>
    <w:p>
      <w:pPr>
        <w:pStyle w:val="FirstParagraph"/>
      </w:pPr>
      <w:r>
        <w:t xml:space="preserve">Singapore has long been recognized as a premier global financial hub, a status that is intrinsically linked to the professional evolution of its financial workforce. This document presents an in-depth Case Study analyzing the role, responsibilities, and future trajectory of the Banker within this unique geopolitical and economic context. By examining Singapore Singapore not just as a location but as a distinct market ecosystem characterized by robust regulation, technological adoption, and cross-border connectivity, we can better understand how the traditional definition of the Banker is being rewritten. The synergy between national policy in Singapore Singapore and individual professional agency defines the modern banking landscape.</w:t>
      </w:r>
    </w:p>
    <w:bookmarkStart w:id="20" w:name="executive-summary"/>
    <w:p>
      <w:pPr>
        <w:pStyle w:val="Heading2"/>
      </w:pPr>
      <w:r>
        <w:t xml:space="preserve">Executive Summary</w:t>
      </w:r>
    </w:p>
    <w:p>
      <w:pPr>
        <w:pStyle w:val="FirstParagraph"/>
      </w:pPr>
      <w:r>
        <w:t xml:space="preserve">The financial services sector in Singapore accounts for a significant portion of its GDP, making it a critical pillar of the national economy. Within this framework, the Banker serves as more than just a transactional intermediary; they are strategic advisors, compliance guardians, and digital innovators. This Case Study explores how Bankers operating in Singapore Singapore navigate complex regulatory environments such as those set by the Monetary Authority of Singapore (MAS). Furthermore, it highlights how the specific characteristics of Singapore's market—its openness to international capital and its status as a gateway to Southeast Asia—demand a specialized skill set that distinguishes Bankers here from their counterparts in other global cities.</w:t>
      </w:r>
    </w:p>
    <w:bookmarkEnd w:id="20"/>
    <w:bookmarkStart w:id="21" w:name="the-regulatory-landscape-for-the-banker"/>
    <w:p>
      <w:pPr>
        <w:pStyle w:val="Heading2"/>
      </w:pPr>
      <w:r>
        <w:t xml:space="preserve">The Regulatory Landscape for the Banker</w:t>
      </w:r>
    </w:p>
    <w:p>
      <w:pPr>
        <w:pStyle w:val="FirstParagraph"/>
      </w:pPr>
      <w:r>
        <w:t xml:space="preserve">In Singapore, regulatory rigor is not merely a hurdle but a cornerstone of financial stability. For any Banker practicing in this jurisdiction, understanding and adhering to MAS guidelines is paramount. The Case Study reveals that successful Bankers are those who view compliance as a value-added service rather than an administrative burden. With initiatives like the Anti-Money Laundering (AML) and Counter-Financing of Terrorism (CFT) frameworks being strictly enforced, Bankers must possess advanced knowledge in risk assessment.</w:t>
      </w:r>
    </w:p>
    <w:p>
      <w:pPr>
        <w:pStyle w:val="BodyText"/>
      </w:pPr>
      <w:r>
        <w:t xml:space="preserve">The environment in Singapore Singapore encourages a "risk-aware" culture. Unlike some deregulated markets where rapid innovation might overshadow safety, Bankers here must balance speed with security. This Case Study notes that the integration of regulatory technology (RegTech) has become essential for Bankers to monitor transactions effectively while maintaining client relationships. The trust placed in the Singapore brand is a national asset, and every Banker plays a role in preserving it through ethical conduct and transparency.</w:t>
      </w:r>
    </w:p>
    <w:bookmarkEnd w:id="21"/>
    <w:bookmarkStart w:id="22" w:name="Xbc1d47106519f80c3edd7c27af21b4cf818660a"/>
    <w:p>
      <w:pPr>
        <w:pStyle w:val="Heading2"/>
      </w:pPr>
      <w:r>
        <w:t xml:space="preserve">Digital Transformation and Fintech Integration</w:t>
      </w:r>
    </w:p>
    <w:p>
      <w:pPr>
        <w:pStyle w:val="FirstParagraph"/>
      </w:pPr>
      <w:r>
        <w:t xml:space="preserve">Singapore has aggressively positioned itself as a Smart Nation, with digital transformation driving economic policies. This shift profoundly impacts the daily operations of the Banker. The Case Study highlights that traditional banking roles are merging with technology-driven functions. Bankers are no longer solely focused on face-to-face consultations; they now utilize data analytics, artificial intelligence, and blockchain technologies to provide personalized financial advice.</w:t>
      </w:r>
    </w:p>
    <w:p>
      <w:pPr>
        <w:pStyle w:val="BodyText"/>
      </w:pPr>
      <w:r>
        <w:t xml:space="preserve">In Singapore, this trend is particularly pronounced due to the high penetration of digital banking apps and cashless transactions. A modern Banker must be digitally fluent. This includes understanding how algorithmic trading works in local markets or how open banking APIs allow for better integration of financial services into daily life. The Case Study identifies a growing demand for hybrid skills, where emotional intelligence meets technical proficiency. Bankers who fail to adapt to these digital tools risk obsolescence, while those who embrace them unlock new opportunities for client engagement in Singapore's highly connected society.</w:t>
      </w:r>
    </w:p>
    <w:bookmarkEnd w:id="22"/>
    <w:bookmarkStart w:id="23" w:name="wealth-management-and-regional-expansion"/>
    <w:p>
      <w:pPr>
        <w:pStyle w:val="Heading2"/>
      </w:pPr>
      <w:r>
        <w:t xml:space="preserve">Wealth Management and Regional Expansion</w:t>
      </w:r>
    </w:p>
    <w:p>
      <w:pPr>
        <w:pStyle w:val="FirstParagraph"/>
      </w:pPr>
      <w:r>
        <w:t xml:space="preserve">One of the defining features of banking in Singapore is its role as a wealth management hub for Asia. The Case Study examines how Bankers cater to high-net-worth individuals (HNWIs) from across the region, including China, Indonesia, and India. This requires a nuanced understanding of cross-border taxation, estate planning, and cultural nuances. The proximity of Singapore to major emerging economies allows Bankers to offer seamless access to global investment opportunities while leveraging local stability.</w:t>
      </w:r>
    </w:p>
    <w:p>
      <w:pPr>
        <w:pStyle w:val="BodyText"/>
      </w:pPr>
      <w:r>
        <w:t xml:space="preserve">The Case Study emphasizes that Bankers in Singapore must act as cultural bridges. They need to understand the differing risk appetites and financial goals of clients from various backgrounds within Southeast Asia and beyond. This specialized knowledge creates a competitive advantage for the banking sector in Singapore, reinforcing its reputation as a safe haven for capital. Consequently, the training programs for aspiring Bankers increasingly focus on international finance laws and multi-cultural communication skills.</w:t>
      </w:r>
    </w:p>
    <w:bookmarkEnd w:id="23"/>
    <w:bookmarkStart w:id="24" w:name="sustainability-and-green-finance"/>
    <w:p>
      <w:pPr>
        <w:pStyle w:val="Heading2"/>
      </w:pPr>
      <w:r>
        <w:t xml:space="preserve">Sustainability and Green Finance</w:t>
      </w:r>
    </w:p>
    <w:p>
      <w:pPr>
        <w:pStyle w:val="FirstParagraph"/>
      </w:pPr>
      <w:r>
        <w:t xml:space="preserve">In recent years, sustainability has moved to the forefront of global banking agendas, and Singapore is no exception. The MAS has launched comprehensive frameworks to promote green finance, compelling Bankers to integrate Environmental, Social, and Governance (ESG) criteria into their decision-making processes. This Case Study explores how Bankers are now tasked with evaluating the sustainability credentials of potential corporate clients.</w:t>
      </w:r>
    </w:p>
    <w:p>
      <w:pPr>
        <w:pStyle w:val="BodyText"/>
      </w:pPr>
      <w:r>
        <w:t xml:space="preserve">Bankers in Singapore are increasingly involved in structuring green bonds and sustainable loans. This shift is not just regulatory but also driven by client demand, particularly from younger generations who prioritize ethical investing. The Case Study suggests that future success for Bankers will depend on their ability to quantify environmental impact alongside financial returns. By championing green initiatives, Bankers contribute to Singapore’s broader goal of becoming a leading sustainable finance hub in Asia.</w:t>
      </w:r>
    </w:p>
    <w:bookmarkEnd w:id="24"/>
    <w:bookmarkStart w:id="25" w:name="talent-development-and-future-outlook"/>
    <w:p>
      <w:pPr>
        <w:pStyle w:val="Heading2"/>
      </w:pPr>
      <w:r>
        <w:t xml:space="preserve">Talent Development and Future Outlook</w:t>
      </w:r>
    </w:p>
    <w:p>
      <w:pPr>
        <w:pStyle w:val="FirstParagraph"/>
      </w:pPr>
      <w:r>
        <w:t xml:space="preserve">The evolution of the banking sector necessitates continuous learning for all professionals involved. This Case Study underscores the importance of lifelong learning for Bankers in Singapore. Financial institutions are investing heavily in upskilling their workforce to keep pace with rapid technological changes and evolving customer expectations.</w:t>
      </w:r>
    </w:p>
    <w:p>
      <w:pPr>
        <w:pStyle w:val="BodyText"/>
      </w:pPr>
      <w:r>
        <w:t xml:space="preserve">The future outlook for Bankers in Singapore is optimistic yet challenging. While automation may replace routine tasks, the need for human judgment, empathy, and strategic thinking remains irreplaceable. Bankers will increasingly focus on advisory roles, helping clients navigate complex economic landscapes. The Case Study concludes that the next generation of Bankers must be agile learners who can synthesize data insights with personal touch to deliver superior service.</w:t>
      </w:r>
    </w:p>
    <w:bookmarkEnd w:id="25"/>
    <w:bookmarkStart w:id="26" w:name="conclusion"/>
    <w:p>
      <w:pPr>
        <w:pStyle w:val="Heading2"/>
      </w:pPr>
      <w:r>
        <w:t xml:space="preserve">Conclusion</w:t>
      </w:r>
    </w:p>
    <w:p>
      <w:pPr>
        <w:pStyle w:val="FirstParagraph"/>
      </w:pPr>
      <w:r>
        <w:t xml:space="preserve">This Case Study has detailed the multifaceted role of the Banker within the unique context of Singapore Singapore. From navigating stringent regulations and embracing digital innovation to managing cross-border wealth and promoting sustainability, Bankers are central to maintaining Singapore's status as a leading financial center. The interplay between national policy in Singapore and individual professional excellence defines this dynamic industry. As the landscape continues to evolve, Bankers who adapt with resilience and foresight will continue to drive value for their institutions, clients, and the broader economy of Singapore.</w:t>
      </w:r>
    </w:p>
    <w:p>
      <w:pPr>
        <w:pStyle w:val="BodyText"/>
      </w:pPr>
      <w:r>
        <w:t xml:space="preserve">Ultimately, the story of banking in this region is one of continuous adaptation. The Banker today is a hybrid professional: part financier, part technologist, part advisor. By understanding these complexities inherent to operating in Singapore Singapore professionals can better prepare for the opportunities and challenges ahead. This Case Study serves as a testament to the enduring importance of skilled financial practitioners in sustaining the growth and stability of one of the world's most vital economic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Modern Singapore</dc:title>
  <dc:creator/>
  <dc:language>en</dc:language>
  <cp:keywords/>
  <dcterms:created xsi:type="dcterms:W3CDTF">2026-07-29T08:19:20Z</dcterms:created>
  <dcterms:modified xsi:type="dcterms:W3CDTF">2026-07-29T08:19:20Z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