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Turkey</w:t>
      </w:r>
      <w:r>
        <w:t xml:space="preserve"> </w:t>
      </w:r>
      <w:r>
        <w:t xml:space="preserve">Ankara</w:t>
      </w:r>
    </w:p>
    <w:bookmarkStart w:id="30" w:name="X13bf0c54be29c58fd59692b947143a2984fd14a"/>
    <w:p>
      <w:pPr>
        <w:pStyle w:val="Heading1"/>
      </w:pPr>
      <w:r>
        <w:t xml:space="preserve">The Strategic Pivot of the</w:t>
      </w:r>
      <w:r>
        <w:t xml:space="preserve"> </w:t>
      </w:r>
      <w:r>
        <w:t xml:space="preserve">Banker</w:t>
      </w:r>
      <w:r>
        <w:t xml:space="preserve">: A Case Study on Financial Adaptation in</w:t>
      </w:r>
      <w:r>
        <w:t xml:space="preserve"> </w:t>
      </w:r>
      <w:r>
        <w:t xml:space="preserve">Turkey Ankara</w:t>
      </w:r>
    </w:p>
    <w:bookmarkStart w:id="20" w:name="executive-summary"/>
    <w:p>
      <w:pPr>
        <w:pStyle w:val="Heading2"/>
      </w:pPr>
      <w:r>
        <w:t xml:space="preserve">Executive Summary</w:t>
      </w:r>
    </w:p>
    <w:p>
      <w:pPr>
        <w:pStyle w:val="FirstParagraph"/>
      </w:pPr>
      <w:r>
        <w:br/>
      </w:r>
      <w:r>
        <w:t xml:space="preserve">The banking sector in Turkey has undergone a seismic shift over the last decade, driven by macroeconomic volatility, digital transformation, and changing consumer behaviors. This</w:t>
      </w:r>
      <w:r>
        <w:t xml:space="preserve"> </w:t>
      </w:r>
      <w:r>
        <w:rPr>
          <w:bCs/>
          <w:b/>
        </w:rPr>
        <w:t xml:space="preserve">Case Study</w:t>
      </w:r>
      <w:r>
        <w:t xml:space="preserve"> </w:t>
      </w:r>
      <w:r>
        <w:t xml:space="preserve">examines the evolving role of the traditional</w:t>
      </w:r>
      <w:r>
        <w:t xml:space="preserve"> </w:t>
      </w:r>
      <w:r>
        <w:rPr>
          <w:bCs/>
          <w:b/>
        </w:rPr>
        <w:t xml:space="preserve">Banker</w:t>
      </w:r>
      <w:r>
        <w:t xml:space="preserve">, specifically analyzing how professionals operating in the capital city of</w:t>
      </w:r>
      <w:r>
        <w:t xml:space="preserve"> </w:t>
      </w:r>
      <w:r>
        <w:rPr>
          <w:bCs/>
          <w:b/>
        </w:rPr>
        <w:t xml:space="preserve">Turkey Ankara</w:t>
      </w:r>
      <w:r>
        <w:t xml:space="preserve"> </w:t>
      </w:r>
      <w:r>
        <w:t xml:space="preserve">are adapting to these pressures. Unlike Istanbul, which is often viewed as Turkey's financial heart, Ankara presents a unique ecosystem characterized by strong public sector ties, a growing tech startup scene in Çankaya and Kavaklıdere, and a distinct corporate clientele. This document explores how the modern</w:t>
      </w:r>
      <w:r>
        <w:t xml:space="preserve"> </w:t>
      </w:r>
      <w:r>
        <w:rPr>
          <w:bCs/>
          <w:b/>
        </w:rPr>
        <w:t xml:space="preserve">Banker</w:t>
      </w:r>
      <w:r>
        <w:t xml:space="preserve"> </w:t>
      </w:r>
      <w:r>
        <w:t xml:space="preserve">in</w:t>
      </w:r>
      <w:r>
        <w:t xml:space="preserve"> </w:t>
      </w:r>
      <w:r>
        <w:rPr>
          <w:bCs/>
          <w:b/>
        </w:rPr>
        <w:t xml:space="preserve">Turkey Ankara</w:t>
      </w:r>
      <w:r>
        <w:t xml:space="preserve"> </w:t>
      </w:r>
      <w:r>
        <w:t xml:space="preserve">must transcend traditional transactional roles to become strategic financial advisors capable of navigating high inflation environments and regulatory complexities.</w:t>
      </w:r>
    </w:p>
    <w:bookmarkEnd w:id="20"/>
    <w:bookmarkStart w:id="21" w:name="X9194376ea387c42501ebdaa6d9346361cd7305b"/>
    <w:p>
      <w:pPr>
        <w:pStyle w:val="Heading2"/>
      </w:pPr>
      <w:r>
        <w:t xml:space="preserve">1. Contextual Background: The Economic Landscape of Turkey Ankara</w:t>
      </w:r>
    </w:p>
    <w:p>
      <w:pPr>
        <w:pStyle w:val="FirstParagraph"/>
      </w:pPr>
      <w:r>
        <w:br/>
      </w:r>
      <w:r>
        <w:t xml:space="preserve">To understand the imperative for change, one must first understand the environment in which the</w:t>
      </w:r>
      <w:r>
        <w:t xml:space="preserve"> </w:t>
      </w:r>
      <w:r>
        <w:rPr>
          <w:bCs/>
          <w:b/>
        </w:rPr>
        <w:t xml:space="preserve">Banker</w:t>
      </w:r>
      <w:r>
        <w:t xml:space="preserve"> </w:t>
      </w:r>
      <w:r>
        <w:t xml:space="preserve">operates in</w:t>
      </w:r>
      <w:r>
        <w:t xml:space="preserve"> </w:t>
      </w:r>
      <w:r>
        <w:rPr>
          <w:bCs/>
          <w:b/>
        </w:rPr>
        <w:t xml:space="preserve">Turkey Ankara</w:t>
      </w:r>
      <w:r>
        <w:t xml:space="preserve">. Since 2018, Turkey has faced significant currency depreciation and high inflation rates. For a</w:t>
      </w:r>
      <w:r>
        <w:t xml:space="preserve"> </w:t>
      </w:r>
      <w:r>
        <w:rPr>
          <w:bCs/>
          <w:b/>
        </w:rPr>
        <w:t xml:space="preserve">Banker</w:t>
      </w:r>
      <w:r>
        <w:t xml:space="preserve">, this means that traditional wealth management strategies based on low-risk, fixed-income assets are no longer sufficient for clients seeking capital preservation.</w:t>
      </w:r>
      <w:r>
        <w:t xml:space="preserve"> </w:t>
      </w:r>
      <w:r>
        <w:t xml:space="preserve">Ankara differs from other major Turkish cities in its economic composition. The presence of numerous government institutions, diplomatic missions, and large state-owned enterprises (SOEs) means that the banking sector in</w:t>
      </w:r>
      <w:r>
        <w:t xml:space="preserve"> </w:t>
      </w:r>
      <w:r>
        <w:rPr>
          <w:bCs/>
          <w:b/>
        </w:rPr>
        <w:t xml:space="preserve">Turkey Ankara</w:t>
      </w:r>
      <w:r>
        <w:t xml:space="preserve"> </w:t>
      </w:r>
      <w:r>
        <w:t xml:space="preserve">is heavily influenced by public sector liquidity and procurement cycles. Furthermore, as the capital hosts many universities and research centers, there is a burgeoning demand for fintech solutions tailored to students and academic professionals. The modern</w:t>
      </w:r>
      <w:r>
        <w:t xml:space="preserve"> </w:t>
      </w:r>
      <w:r>
        <w:rPr>
          <w:bCs/>
          <w:b/>
        </w:rPr>
        <w:t xml:space="preserve">Banker</w:t>
      </w:r>
      <w:r>
        <w:t xml:space="preserve"> </w:t>
      </w:r>
      <w:r>
        <w:t xml:space="preserve">in this region must therefore possess a dual competency: deep knowledge of sovereign risk analysis and agility in adopting digital-first banking platforms to serve a tech-savvy demographic.</w:t>
      </w:r>
    </w:p>
    <w:bookmarkEnd w:id="21"/>
    <w:bookmarkStart w:id="22" w:name="Xe898f3fdd33af8224ae7a5bbac1691d41cb0095"/>
    <w:p>
      <w:pPr>
        <w:pStyle w:val="Heading2"/>
      </w:pPr>
      <w:r>
        <w:t xml:space="preserve">2. The Problem Statement: Obsolescence of the Traditional Model</w:t>
      </w:r>
    </w:p>
    <w:p>
      <w:pPr>
        <w:pStyle w:val="FirstParagraph"/>
      </w:pPr>
      <w:r>
        <w:br/>
      </w:r>
      <w:r>
        <w:t xml:space="preserve">Historically, the role of the</w:t>
      </w:r>
      <w:r>
        <w:t xml:space="preserve"> </w:t>
      </w:r>
      <w:r>
        <w:rPr>
          <w:bCs/>
          <w:b/>
        </w:rPr>
        <w:t xml:space="preserve">Banker</w:t>
      </w:r>
      <w:r>
        <w:t xml:space="preserve"> </w:t>
      </w:r>
      <w:r>
        <w:t xml:space="preserve">was defined by relationship management based on familiarity and transactional efficiency. However, in</w:t>
      </w:r>
      <w:r>
        <w:t xml:space="preserve"> </w:t>
      </w:r>
      <w:r>
        <w:rPr>
          <w:bCs/>
          <w:b/>
        </w:rPr>
        <w:t xml:space="preserve">Turkey Ankara</w:t>
      </w:r>
      <w:r>
        <w:t xml:space="preserve">, this model is becoming obsolete due to three primary factors:</w:t>
      </w:r>
      <w:r>
        <w:t xml:space="preserve"> </w:t>
      </w:r>
      <w:r>
        <w:t xml:space="preserve">Firstly, digital banking apps have reduced foot traffic in branches. Clients in affluent neighborhoods such as Gaziosmanpaşa and Kızılay now prefer handling routine transactions via mobile devices, leaving the</w:t>
      </w:r>
      <w:r>
        <w:t xml:space="preserve"> </w:t>
      </w:r>
      <w:r>
        <w:rPr>
          <w:bCs/>
          <w:b/>
        </w:rPr>
        <w:t xml:space="preserve">Banker</w:t>
      </w:r>
      <w:r>
        <w:t xml:space="preserve"> </w:t>
      </w:r>
      <w:r>
        <w:t xml:space="preserve">with less face-to-face time to build trust. Second, economic volatility requires rapid portfolio adjustments that manual processes cannot support efficiently. A</w:t>
      </w:r>
      <w:r>
        <w:t xml:space="preserve"> </w:t>
      </w:r>
      <w:r>
        <w:rPr>
          <w:bCs/>
          <w:b/>
        </w:rPr>
        <w:t xml:space="preserve">Banker</w:t>
      </w:r>
      <w:r>
        <w:t xml:space="preserve"> </w:t>
      </w:r>
      <w:r>
        <w:t xml:space="preserve">relying solely on legacy systems struggles to provide real-time hedging advice against inflation. Thirdly, regulatory compliance from the Banking Regulation and Supervision Agency (BRSA) has become increasingly stringent regarding anti-money laundering (AML) and know-your-customer (KYC) protocols, particularly concerning international trade finance which is vital for Ankara’s industrial zones like Organized Industrial Zones (OSB).</w:t>
      </w:r>
    </w:p>
    <w:bookmarkEnd w:id="22"/>
    <w:bookmarkStart w:id="26" w:name="Xafb0f71f69eed7fb5106c594b074d4ad807b32d"/>
    <w:p>
      <w:pPr>
        <w:pStyle w:val="Heading2"/>
      </w:pPr>
      <w:r>
        <w:t xml:space="preserve">3. Strategic Response: Redefining the Banker Role</w:t>
      </w:r>
    </w:p>
    <w:p>
      <w:pPr>
        <w:pStyle w:val="FirstParagraph"/>
      </w:pPr>
      <w:r>
        <w:br/>
      </w:r>
      <w:r>
        <w:t xml:space="preserve">In response to these challenges, leading financial institutions in</w:t>
      </w:r>
      <w:r>
        <w:t xml:space="preserve"> </w:t>
      </w:r>
      <w:r>
        <w:rPr>
          <w:bCs/>
          <w:b/>
        </w:rPr>
        <w:t xml:space="preserve">Turkey Ankara</w:t>
      </w:r>
      <w:r>
        <w:t xml:space="preserve"> </w:t>
      </w:r>
      <w:r>
        <w:t xml:space="preserve">have initiated a strategic pivot. This section outlines how the</w:t>
      </w:r>
      <w:r>
        <w:t xml:space="preserve"> </w:t>
      </w:r>
      <w:r>
        <w:rPr>
          <w:bCs/>
          <w:b/>
        </w:rPr>
        <w:t xml:space="preserve">Banker</w:t>
      </w:r>
      <w:r>
        <w:t xml:space="preserve"> </w:t>
      </w:r>
      <w:r>
        <w:t xml:space="preserve">is transforming into a holistic wealth architect and risk consultant.</w:t>
      </w:r>
    </w:p>
    <w:bookmarkStart w:id="23" w:name="X387be90b3c53d36961344040920eea0280aebe9"/>
    <w:p>
      <w:pPr>
        <w:pStyle w:val="Heading3"/>
      </w:pPr>
      <w:r>
        <w:t xml:space="preserve">A. Specialization in Inflation-Linked Products</w:t>
      </w:r>
    </w:p>
    <w:p>
      <w:pPr>
        <w:pStyle w:val="FirstParagraph"/>
      </w:pPr>
      <w:r>
        <w:br/>
      </w:r>
      <w:r>
        <w:t xml:space="preserve">The modern</w:t>
      </w:r>
      <w:r>
        <w:t xml:space="preserve"> </w:t>
      </w:r>
      <w:r>
        <w:rPr>
          <w:bCs/>
          <w:b/>
        </w:rPr>
        <w:t xml:space="preserve">Banker</w:t>
      </w:r>
      <w:r>
        <w:t xml:space="preserve"> </w:t>
      </w:r>
      <w:r>
        <w:t xml:space="preserve">in</w:t>
      </w:r>
      <w:r>
        <w:t xml:space="preserve"> </w:t>
      </w:r>
      <w:r>
        <w:rPr>
          <w:bCs/>
          <w:b/>
        </w:rPr>
        <w:t xml:space="preserve">Turkey Ankara must be proficient in complex financial instruments such as inflation-linked deposits, foreign currency accounts (Dolar/Yuan/Euro accounts), and equity market linkages. Instead of merely offering savings accounts, the</w:t>
      </w:r>
      <w:r>
        <w:rPr>
          <w:bCs/>
          <w:b/>
        </w:rPr>
        <w:t xml:space="preserve"> </w:t>
      </w:r>
      <w:r>
        <w:rPr>
          <w:bCs/>
          <w:b/>
          <w:bCs/>
          <w:b/>
        </w:rPr>
        <w:t xml:space="preserve">Banker</w:t>
      </w:r>
      <w:r>
        <w:rPr>
          <w:bCs/>
          <w:b/>
        </w:rPr>
        <w:t xml:space="preserve"> </w:t>
      </w:r>
      <w:r>
        <w:rPr>
          <w:bCs/>
          <w:b/>
        </w:rPr>
        <w:t xml:space="preserve">acts as a counselor on asset allocation. For instance, when advising a mid-sized manufacturing firm in Ankara’s industrial district, the</w:t>
      </w:r>
      <w:r>
        <w:rPr>
          <w:bCs/>
          <w:b/>
        </w:rPr>
        <w:t xml:space="preserve"> </w:t>
      </w:r>
      <w:r>
        <w:rPr>
          <w:bCs/>
          <w:b/>
          <w:bCs/>
          <w:b/>
        </w:rPr>
        <w:t xml:space="preserve">Banker does not just provide a loan; they structure debt financing using variable interest rate hedges to protect against lira volatility. This level of advisory service is crucial for maintaining client loyalty in</w:t>
      </w:r>
      <w:r>
        <w:rPr>
          <w:bCs/>
          <w:b/>
          <w:bCs/>
          <w:b/>
        </w:rPr>
        <w:t xml:space="preserve"> </w:t>
      </w:r>
      <w:r>
        <w:rPr>
          <w:bCs/>
          <w:b/>
          <w:bCs/>
          <w:b/>
          <w:bCs/>
          <w:b/>
        </w:rPr>
        <w:t xml:space="preserve">Turkey Ankara</w:t>
      </w:r>
      <w:r>
        <w:rPr>
          <w:bCs/>
          <w:b/>
          <w:bCs/>
          <w:b/>
        </w:rPr>
        <w:t xml:space="preserve">.</w:t>
      </w:r>
    </w:p>
    <w:bookmarkEnd w:id="23"/>
    <w:bookmarkStart w:id="24" w:name="X5d26a7c79192b5e79efeb6d21a6064e4555369d"/>
    <w:p>
      <w:pPr>
        <w:pStyle w:val="Heading3"/>
      </w:pPr>
      <w:r>
        <w:t xml:space="preserve">B. Integration with the Public Sector and Bureaucracy</w:t>
      </w:r>
    </w:p>
    <w:p>
      <w:pPr>
        <w:pStyle w:val="FirstParagraph"/>
      </w:pPr>
      <w:r>
        <w:br/>
      </w:r>
      <w:r>
        <w:t xml:space="preserve">A unique aspect of being a</w:t>
      </w:r>
      <w:r>
        <w:t xml:space="preserve"> </w:t>
      </w:r>
      <w:r>
        <w:rPr>
          <w:bCs/>
          <w:b/>
        </w:rPr>
        <w:t xml:space="preserve">Banker in</w:t>
      </w:r>
      <w:r>
        <w:rPr>
          <w:bCs/>
          <w:b/>
        </w:rPr>
        <w:t xml:space="preserve"> </w:t>
      </w:r>
      <w:r>
        <w:rPr>
          <w:bCs/>
          <w:b/>
          <w:bCs/>
          <w:b/>
        </w:rPr>
        <w:t xml:space="preserve">Turkey Ankara is the necessity to navigate bureaucratic processes efficiently. Many large contracts in the city involve government entities. The successful</w:t>
      </w:r>
      <w:r>
        <w:rPr>
          <w:bCs/>
          <w:b/>
          <w:bCs/>
          <w:b/>
        </w:rPr>
        <w:t xml:space="preserve"> </w:t>
      </w:r>
      <w:r>
        <w:rPr>
          <w:bCs/>
          <w:b/>
          <w:bCs/>
          <w:b/>
          <w:bCs/>
          <w:b/>
        </w:rPr>
        <w:t xml:space="preserve">Banker develops expertise in public-private partnership (PPP) financing and tender guarantees. This requires a nuanced understanding of local regulations and political cycles. The</w:t>
      </w:r>
      <w:r>
        <w:rPr>
          <w:bCs/>
          <w:b/>
          <w:bCs/>
          <w:b/>
          <w:bCs/>
          <w:b/>
        </w:rPr>
        <w:t xml:space="preserve"> </w:t>
      </w:r>
      <w:r>
        <w:rPr>
          <w:bCs/>
          <w:b/>
          <w:bCs/>
          <w:b/>
          <w:bCs/>
          <w:b/>
          <w:bCs/>
          <w:b/>
        </w:rPr>
        <w:t xml:space="preserve">Banker serves as a liaison between private enterprise efficiency and public sector rigidity, ensuring that payment flows are secure despite administrative delays.</w:t>
      </w:r>
    </w:p>
    <w:bookmarkEnd w:id="24"/>
    <w:bookmarkStart w:id="25" w:name="Xd0d5633676dd2fe7364c2db98774a4d098e6d6c"/>
    <w:p>
      <w:pPr>
        <w:pStyle w:val="Heading3"/>
      </w:pPr>
      <w:r>
        <w:t xml:space="preserve">C. Digital Empathy and Customer Experience (CX)</w:t>
      </w:r>
    </w:p>
    <w:p>
      <w:pPr>
        <w:pStyle w:val="FirstParagraph"/>
      </w:pPr>
      <w:r>
        <w:br/>
      </w:r>
      <w:r>
        <w:t xml:space="preserve">Despite the push for digitalization, human touch remains critical in Turkish culture. The</w:t>
      </w:r>
      <w:r>
        <w:t xml:space="preserve"> </w:t>
      </w:r>
      <w:r>
        <w:rPr>
          <w:bCs/>
          <w:b/>
        </w:rPr>
        <w:t xml:space="preserve">Banker in</w:t>
      </w:r>
      <w:r>
        <w:rPr>
          <w:bCs/>
          <w:b/>
        </w:rPr>
        <w:t xml:space="preserve"> </w:t>
      </w:r>
      <w:r>
        <w:rPr>
          <w:bCs/>
          <w:b/>
          <w:bCs/>
          <w:b/>
        </w:rPr>
        <w:t xml:space="preserve">Turkey Ankara acts as a bridge between technology and trust. They are trained to use Customer Relationship Management (CRM) tools not just to track sales, but to anticipate client needs based on life events or business cycles. For example, recognizing when a university professor in Yenimahalle is nearing retirement allows the</w:t>
      </w:r>
      <w:r>
        <w:rPr>
          <w:bCs/>
          <w:b/>
          <w:bCs/>
          <w:b/>
        </w:rPr>
        <w:t xml:space="preserve"> </w:t>
      </w:r>
      <w:r>
        <w:rPr>
          <w:bCs/>
          <w:b/>
          <w:bCs/>
          <w:b/>
          <w:bCs/>
          <w:b/>
        </w:rPr>
        <w:t xml:space="preserve">Banker to proactively suggest pension planning services before the client even asks. This proactive approach differentiates premium banking services in the capital region.</w:t>
      </w:r>
    </w:p>
    <w:bookmarkEnd w:id="25"/>
    <w:bookmarkEnd w:id="26"/>
    <w:bookmarkStart w:id="27" w:name="X9cbb000d3a8e9faeb4d3bbacad201afd44d281a"/>
    <w:p>
      <w:pPr>
        <w:pStyle w:val="Heading2"/>
      </w:pPr>
      <w:r>
        <w:t xml:space="preserve">4. Case Example: The Çankaya Corporate Account Shift</w:t>
      </w:r>
    </w:p>
    <w:p>
      <w:pPr>
        <w:pStyle w:val="FirstParagraph"/>
      </w:pPr>
      <w:r>
        <w:br/>
      </w:r>
      <w:r>
        <w:t xml:space="preserve">Consider a mid-sized export company located in Çankaya, Ankara, specializing in textile machinery. Previously, their relationship with their</w:t>
      </w:r>
      <w:r>
        <w:t xml:space="preserve"> </w:t>
      </w:r>
      <w:r>
        <w:rPr>
          <w:bCs/>
          <w:b/>
        </w:rPr>
        <w:t xml:space="preserve">Banker was limited to monthly interest payments and currency exchange for imports. However, facing increased competition from Asian markets and local currency fluctuation, the CEO approached the</w:t>
      </w:r>
      <w:r>
        <w:rPr>
          <w:bCs/>
          <w:b/>
        </w:rPr>
        <w:t xml:space="preserve"> </w:t>
      </w:r>
      <w:r>
        <w:rPr>
          <w:bCs/>
          <w:b/>
          <w:bCs/>
          <w:b/>
        </w:rPr>
        <w:t xml:space="preserve">Banker for strategic advice.</w:t>
      </w:r>
      <w:r>
        <w:rPr>
          <w:bCs/>
          <w:b/>
          <w:bCs/>
          <w:b/>
        </w:rPr>
        <w:t xml:space="preserve"> </w:t>
      </w:r>
      <w:r>
        <w:rPr>
          <w:bCs/>
          <w:b/>
          <w:bCs/>
          <w:b/>
        </w:rPr>
        <w:t xml:space="preserve">The</w:t>
      </w:r>
      <w:r>
        <w:rPr>
          <w:bCs/>
          <w:b/>
          <w:bCs/>
          <w:b/>
        </w:rPr>
        <w:t xml:space="preserve"> </w:t>
      </w:r>
      <w:r>
        <w:rPr>
          <w:bCs/>
          <w:b/>
          <w:bCs/>
          <w:b/>
          <w:bCs/>
          <w:b/>
        </w:rPr>
        <w:t xml:space="preserve">Banker analyzed the company’s cash flow and identified that holding receivables in foreign currency exposed them to significant conversion risks. The</w:t>
      </w:r>
      <w:r>
        <w:rPr>
          <w:bCs/>
          <w:b/>
          <w:bCs/>
          <w:b/>
          <w:bCs/>
          <w:b/>
        </w:rPr>
        <w:t xml:space="preserve"> </w:t>
      </w:r>
      <w:r>
        <w:rPr>
          <w:bCs/>
          <w:b/>
          <w:bCs/>
          <w:b/>
          <w:bCs/>
          <w:b/>
          <w:bCs/>
          <w:b/>
        </w:rPr>
        <w:t xml:space="preserve">Banker proposed a structured factoring solution combined with forward contracts to lock in exchange rates for the next six months. Additionally, they advised on investing surplus liquidity into short-term money market funds rather than keeping it idle. Over two years, this strategic intervention improved the company’s profit margins by 4% and reduced financial distress risk. This example illustrates that the value of a</w:t>
      </w:r>
      <w:r>
        <w:rPr>
          <w:bCs/>
          <w:b/>
          <w:bCs/>
          <w:b/>
          <w:bCs/>
          <w:b/>
          <w:bCs/>
          <w:b/>
        </w:rPr>
        <w:t xml:space="preserve"> </w:t>
      </w:r>
      <w:r>
        <w:rPr>
          <w:bCs/>
          <w:b/>
          <w:bCs/>
          <w:b/>
          <w:bCs/>
          <w:b/>
          <w:bCs/>
          <w:b/>
          <w:bCs/>
          <w:b/>
        </w:rPr>
        <w:t xml:space="preserve">Banker in</w:t>
      </w:r>
      <w:r>
        <w:rPr>
          <w:bCs/>
          <w:b/>
          <w:bCs/>
          <w:b/>
          <w:bCs/>
          <w:b/>
          <w:bCs/>
          <w:b/>
          <w:bCs/>
          <w:b/>
        </w:rPr>
        <w:t xml:space="preserve"> </w:t>
      </w:r>
      <w:r>
        <w:rPr>
          <w:bCs/>
          <w:b/>
          <w:bCs/>
          <w:b/>
          <w:bCs/>
          <w:b/>
          <w:bCs/>
          <w:b/>
          <w:bCs/>
          <w:b/>
          <w:bCs/>
          <w:b/>
        </w:rPr>
        <w:t xml:space="preserve">Turkey Ankara is no longer measured by transaction speed, but by strategic foresight and risk mitigation capabilities.</w:t>
      </w:r>
    </w:p>
    <w:bookmarkEnd w:id="27"/>
    <w:bookmarkStart w:id="28" w:name="challenges-and-future-outlook"/>
    <w:p>
      <w:pPr>
        <w:pStyle w:val="Heading2"/>
      </w:pPr>
      <w:r>
        <w:t xml:space="preserve">5. Challenges and Future Outlook</w:t>
      </w:r>
    </w:p>
    <w:p>
      <w:pPr>
        <w:pStyle w:val="FirstParagraph"/>
      </w:pPr>
      <w:r>
        <w:br/>
      </w:r>
      <w:r>
        <w:t xml:space="preserve">Despite these advancements, the</w:t>
      </w:r>
      <w:r>
        <w:t xml:space="preserve"> </w:t>
      </w:r>
      <w:r>
        <w:rPr>
          <w:bCs/>
          <w:b/>
        </w:rPr>
        <w:t xml:space="preserve">Banker in</w:t>
      </w:r>
      <w:r>
        <w:rPr>
          <w:bCs/>
          <w:b/>
        </w:rPr>
        <w:t xml:space="preserve"> </w:t>
      </w:r>
      <w:r>
        <w:rPr>
          <w:bCs/>
          <w:b/>
          <w:bCs/>
          <w:b/>
        </w:rPr>
        <w:t xml:space="preserve">Turkey Ankara faces ongoing challenges. Talent retention is difficult due to the high-pressure nature of managing volatile assets. Furthermore, regulatory uncertainty remains a concern; sudden changes in central bank policies can render even the best advice obsolete overnight.</w:t>
      </w:r>
      <w:r>
        <w:rPr>
          <w:bCs/>
          <w:b/>
          <w:bCs/>
          <w:b/>
        </w:rPr>
        <w:t xml:space="preserve"> </w:t>
      </w:r>
      <w:r>
        <w:rPr>
          <w:bCs/>
          <w:b/>
          <w:bCs/>
          <w:b/>
        </w:rPr>
        <w:t xml:space="preserve">Looking ahead, Artificial Intelligence (AI) will play a larger role in supporting</w:t>
      </w:r>
      <w:r>
        <w:rPr>
          <w:bCs/>
          <w:b/>
          <w:bCs/>
          <w:b/>
        </w:rPr>
        <w:t xml:space="preserve"> </w:t>
      </w:r>
      <w:r>
        <w:rPr>
          <w:bCs/>
          <w:b/>
          <w:bCs/>
          <w:b/>
          <w:bCs/>
          <w:b/>
        </w:rPr>
        <w:t xml:space="preserve">Bankers in</w:t>
      </w:r>
      <w:r>
        <w:rPr>
          <w:bCs/>
          <w:b/>
          <w:bCs/>
          <w:b/>
          <w:bCs/>
          <w:b/>
        </w:rPr>
        <w:t xml:space="preserve"> </w:t>
      </w:r>
      <w:r>
        <w:rPr>
          <w:bCs/>
          <w:b/>
          <w:bCs/>
          <w:b/>
          <w:bCs/>
          <w:b/>
          <w:bCs/>
          <w:b/>
        </w:rPr>
        <w:t xml:space="preserve">Turkey Ankara. AI-driven analytics will help identify market trends earlier, allowing the</w:t>
      </w:r>
      <w:r>
        <w:rPr>
          <w:bCs/>
          <w:b/>
          <w:bCs/>
          <w:b/>
          <w:bCs/>
          <w:b/>
          <w:bCs/>
          <w:b/>
        </w:rPr>
        <w:t xml:space="preserve"> </w:t>
      </w:r>
      <w:r>
        <w:rPr>
          <w:bCs/>
          <w:b/>
          <w:bCs/>
          <w:b/>
          <w:bCs/>
          <w:b/>
          <w:bCs/>
          <w:b/>
          <w:bCs/>
          <w:b/>
        </w:rPr>
        <w:t xml:space="preserve">Banker to offer data-backed advice. However, the human element of trust and cultural understanding remains irreplaceable. The future belongs to the hybrid professional who combines technical financial acumen with strong interpersonal skills tailored to the specific socio-economic fabric of Ankara.</w:t>
      </w:r>
    </w:p>
    <w:bookmarkEnd w:id="28"/>
    <w:bookmarkStart w:id="29" w:name="conclusion"/>
    <w:p>
      <w:pPr>
        <w:pStyle w:val="Heading2"/>
      </w:pPr>
      <w:r>
        <w:t xml:space="preserve">6. Conclusion</w:t>
      </w:r>
    </w:p>
    <w:p>
      <w:pPr>
        <w:pStyle w:val="FirstParagraph"/>
      </w:pPr>
      <w:r>
        <w:br/>
      </w:r>
      <w:r>
        <w:t xml:space="preserve">This</w:t>
      </w:r>
    </w:p>
    <w:p>
      <w:pPr>
        <w:pStyle w:val="BodyText"/>
      </w:pPr>
      <w:r>
        <w:t xml:space="preserve">Case Study demonstrates that the role of the</w:t>
      </w:r>
    </w:p>
    <w:p>
      <w:pPr>
        <w:pStyle w:val="BodyText"/>
      </w:pPr>
      <w:r>
        <w:t xml:space="preserve">Banker in</w:t>
      </w:r>
    </w:p>
    <w:p>
      <w:pPr>
        <w:pStyle w:val="BodyText"/>
      </w:pPr>
      <w:r>
        <w:t xml:space="preserve">Turkey Ankara is undergoing a fundamental transformation. Driven by economic volatility and digital disruption, the traditional model is giving way to a specialized advisory role. Success in this environment requires deep local knowledge of Ankara’s unique public-private ecosystem, proficiency in complex hedging strategies, and the ability to leverage technology without losing the personal touch essential to Turkish business culture. For financial institutions operating in</w:t>
      </w:r>
    </w:p>
    <w:p>
      <w:pPr>
        <w:pStyle w:val="BodyText"/>
      </w:pPr>
      <w:r>
        <w:t xml:space="preserve">Turkey Ankara, investing in the upskilling of their</w:t>
      </w:r>
    </w:p>
    <w:p>
      <w:pPr>
        <w:pStyle w:val="BodyText"/>
      </w:pPr>
      <w:r>
        <w:t xml:space="preserve">Bankers is not merely an operational improvement but a strategic necessity for survival and growth in a competitive market. The modern</w:t>
      </w:r>
    </w:p>
    <w:p>
      <w:pPr>
        <w:pStyle w:val="BodyText"/>
      </w:pPr>
      <w:r>
        <w:t xml:space="preserve">Banker is no longer just a keeper of money; they are essential navigators through Turkey’s complex economic landscape, with Ankara serving as their primary theater of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Role in Turkey Ankara</dc:title>
  <dc:creator/>
  <dc:language>en</dc:language>
  <cp:keywords/>
  <dcterms:created xsi:type="dcterms:W3CDTF">2026-07-29T09:12:38Z</dcterms:created>
  <dcterms:modified xsi:type="dcterms:W3CDTF">2026-07-29T09:12:38Z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