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Turkey</w:t>
      </w:r>
      <w:r>
        <w:t xml:space="preserve"> </w:t>
      </w:r>
      <w:r>
        <w:t xml:space="preserve">Istanbul</w:t>
      </w:r>
    </w:p>
    <w:bookmarkStart w:id="30" w:name="Xdb073c756aef7c5c679b28d25d13813bc30269f"/>
    <w:p>
      <w:pPr>
        <w:pStyle w:val="Heading1"/>
      </w:pPr>
      <w:r>
        <w:t xml:space="preserve">The Modern Banker in Turkey Istanbul: A Strategic Case Study on Navigating Economic Volatility and Digital Transformation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Strategies for the Contemporary Banker within the Complex Financial Landscape of Turkey Istanbul.</w:t>
      </w:r>
      <w:r>
        <w:br/>
      </w:r>
      <w:r>
        <w:rPr>
          <w:iCs/>
          <w:i/>
        </w:rPr>
        <w:t xml:space="preserve">This case study explores how the role of a banker has evolved in Turkey Istanbul, analyzing the intersection of macroeconomic pressures, regulatory shifts, and digital adoption.</w:t>
      </w:r>
    </w:p>
    <w:bookmarkStart w:id="20" w:name="executive-summary"/>
    <w:p>
      <w:pPr>
        <w:pStyle w:val="Heading2"/>
      </w:pPr>
      <w:r>
        <w:t xml:space="preserve">1. Executive Summary</w:t>
      </w:r>
    </w:p>
    <w:p>
      <w:pPr>
        <w:pStyle w:val="FirstParagraph"/>
      </w:pPr>
      <w:r>
        <w:t xml:space="preserve">The financial ecosystem in Turkey Istanbul represents one of the most dynamic and challenging environments for banking professionals globally. This case study examines the multifaceted role of the modern banker operating in this vibrant metropolitan hub. It analyzes how traditional banking paradigms are being disrupted by high inflation rates, currency fluctuations, and a rapidly digitizing consumer base. The primary objective is to identify strategic imperatives that allow bankers in Turkey Istanbul to maintain profitability while ensuring regulatory compliance and customer trust.</w:t>
      </w:r>
    </w:p>
    <w:bookmarkEnd w:id="20"/>
    <w:bookmarkStart w:id="21" w:name="X5b58319f1de65a154a75e5b4b93f498673f2eff"/>
    <w:p>
      <w:pPr>
        <w:pStyle w:val="Heading2"/>
      </w:pPr>
      <w:r>
        <w:t xml:space="preserve">2. Contextual Background: The Unique Landscape of Turkey Istanbul</w:t>
      </w:r>
    </w:p>
    <w:p>
      <w:pPr>
        <w:pStyle w:val="FirstParagraph"/>
      </w:pPr>
      <w:r>
        <w:t xml:space="preserve">Istanbul, as the economic heart of Turkey, serves as a critical node for international trade, tourism, and capital flow. However, the region is characterized by significant macroeconomic volatility. For the banker operating in this jurisdiction, understanding local nuances is not merely an advantage but a necessity. The interplay between geopolitical positioning and domestic monetary policy creates a unique risk profile.</w:t>
      </w:r>
    </w:p>
    <w:p>
      <w:pPr>
        <w:pStyle w:val="BodyText"/>
      </w:pPr>
      <w:r>
        <w:t xml:space="preserve">In recent years, Turkey Istanbul has seen a surge in fintech adoption driven by young demographics and high smartphone penetration. Consequently, the traditional branch-based model is undergoing rapid restructuring. The modern banker in this region must possess not only financial acumen but also technological literacy and cross-cultural communication skills to serve a diverse clientele ranging from local SMEs to multinational corporations.</w:t>
      </w:r>
    </w:p>
    <w:bookmarkEnd w:id="21"/>
    <w:bookmarkStart w:id="22" w:name="Xfbfb3c1a98f8cc9676b6f902df2fb654369e3b6"/>
    <w:p>
      <w:pPr>
        <w:pStyle w:val="Heading2"/>
      </w:pPr>
      <w:r>
        <w:t xml:space="preserve">3. Problem Statement: Challenges Facing the Banker</w:t>
      </w:r>
    </w:p>
    <w:p>
      <w:pPr>
        <w:pStyle w:val="FirstParagraph"/>
      </w:pPr>
      <w:r>
        <w:t xml:space="preserve">The core challenges confronting the banker in Turkey Istanbul can be categorized into three main areas:</w:t>
      </w:r>
    </w:p>
    <w:p>
      <w:pPr>
        <w:numPr>
          <w:ilvl w:val="0"/>
          <w:numId w:val="1001"/>
        </w:numPr>
        <w:pStyle w:val="Compact"/>
      </w:pPr>
      <w:r>
        <w:rPr>
          <w:bCs/>
          <w:b/>
        </w:rPr>
        <w:t xml:space="preserve">Economic Instability:</w:t>
      </w:r>
    </w:p>
    <w:p>
      <w:pPr>
        <w:numPr>
          <w:ilvl w:val="0"/>
          <w:numId w:val="1001"/>
        </w:numPr>
        <w:pStyle w:val="Compact"/>
      </w:pPr>
      <w:r>
        <w:rPr>
          <w:bCs/>
          <w:b/>
        </w:rPr>
        <w:t xml:space="preserve">Regulatory Compliance:</w:t>
      </w:r>
      <w:r>
        <w:t xml:space="preserve">The Banking Regulation and Supervision Agency (BRSA) in Turkey enforces strict capital adequacy ratios and liquidity requirements. Bankers must stay abreast of frequent regulatory changes to avoid penalties and operational shutdowns.</w:t>
      </w:r>
    </w:p>
    <w:p>
      <w:pPr>
        <w:numPr>
          <w:ilvl w:val="0"/>
          <w:numId w:val="1001"/>
        </w:numPr>
        <w:pStyle w:val="Compact"/>
      </w:pPr>
      <w:r>
        <w:t xml:space="preserve">Digital Disruption:</w:t>
      </w:r>
    </w:p>
    <w:bookmarkEnd w:id="22"/>
    <w:bookmarkStart w:id="26" w:name="case-analysis-strategic-responses"/>
    <w:p>
      <w:pPr>
        <w:pStyle w:val="Heading2"/>
      </w:pPr>
      <w:r>
        <w:t xml:space="preserve">4. Case Analysis: Strategic Responses</w:t>
      </w:r>
    </w:p>
    <w:bookmarkStart w:id="23" w:name="X45397e8ee333546cce45b496a8badb3270826d5"/>
    <w:p>
      <w:pPr>
        <w:pStyle w:val="Heading3"/>
      </w:pPr>
      <w:r>
        <w:t xml:space="preserve">4.1 The Shift from Transactional to Advisory Banking</w:t>
      </w:r>
    </w:p>
    <w:p>
      <w:pPr>
        <w:pStyle w:val="FirstParagraph"/>
      </w:pPr>
      <w:r>
        <w:t xml:space="preserve">In response to economic volatility, the role of the banker in Turkey Istanbul has shifted significantly toward wealth preservation and advisory services. Rather than simply processing transactions, bankers are now expected to act as financial consultants. This involves creating bespoke portfolios that include foreign currency assets, gold, and equities to mitigate inflation risks.</w:t>
      </w:r>
    </w:p>
    <w:p>
      <w:pPr>
        <w:pStyle w:val="BodyText"/>
      </w:pPr>
      <w:r>
        <w:t xml:space="preserve">A successful example observed in major banks within Turkey Istanbul is the implementation of "Financial Wellness" programs for SMEs. Bankers actively monitor cash flow patterns and provide early warnings regarding liquidity shortages. This proactive approach has strengthened client retention rates during periods of economic downturn.</w:t>
      </w:r>
    </w:p>
    <w:bookmarkEnd w:id="23"/>
    <w:bookmarkStart w:id="24" w:name="integration-of-fintech-solutions"/>
    <w:p>
      <w:pPr>
        <w:pStyle w:val="Heading3"/>
      </w:pPr>
      <w:r>
        <w:t xml:space="preserve">4.2 Integration of Fintech Solutions</w:t>
      </w:r>
    </w:p>
    <w:p>
      <w:pPr>
        <w:pStyle w:val="FirstParagraph"/>
      </w:pPr>
      <w:r>
        <w:t xml:space="preserve">To compete with digital-native challengers, traditional banks in Turkey Istanbul have accelerated their digital transformation initiatives. The modern banker leverages AI-driven analytics to assess credit risk more accurately, particularly for unsecured lending. By utilizing alternative data points such as utility payments and e-commerce transaction history, bankers can extend credit to underserved segments of the population.</w:t>
      </w:r>
    </w:p>
    <w:p>
      <w:pPr>
        <w:pStyle w:val="BodyText"/>
      </w:pPr>
      <w:r>
        <w:t xml:space="preserve">Furthermore, mobile banking apps have become central to the banker-client relationship. Video call services allow bankers in Turkey Istanbul to conduct secure transactions and sign contracts remotely, reducing branch overheads while maintaining service quality. This hybrid model is essential for balancing cost efficiency with customer experience.</w:t>
      </w:r>
    </w:p>
    <w:bookmarkEnd w:id="24"/>
    <w:bookmarkStart w:id="25" w:name="navigating-regulatory-complexity"/>
    <w:p>
      <w:pPr>
        <w:pStyle w:val="Heading3"/>
      </w:pPr>
      <w:r>
        <w:t xml:space="preserve">4.3 Navigating Regulatory Complexity</w:t>
      </w:r>
    </w:p>
    <w:p>
      <w:pPr>
        <w:pStyle w:val="FirstParagraph"/>
      </w:pPr>
      <w:r>
        <w:t xml:space="preserve">The regulatory environment in Turkey requires a robust compliance framework. Bankers are now integral to the compliance process, required to perform enhanced due diligence on high-risk transactions. Training programs in Turkey Istanbul have emphasized anti-money laundering (AML) protocols and know-your-customer (KYC) standards.</w:t>
      </w:r>
    </w:p>
    <w:p>
      <w:pPr>
        <w:pStyle w:val="BodyText"/>
      </w:pPr>
      <w:r>
        <w:t xml:space="preserve">Effective bankers utilize automated compliance software that flags suspicious activities in real-time. This technological support allows bankers to focus on building relationships rather than getting bogged down by manual paperwork, ensuring that the bank remains compliant with BRSA directives without compromising operational speed.</w:t>
      </w:r>
    </w:p>
    <w:bookmarkEnd w:id="25"/>
    <w:bookmarkEnd w:id="26"/>
    <w:bookmarkStart w:id="27" w:name="impact-assessment"/>
    <w:p>
      <w:pPr>
        <w:pStyle w:val="Heading2"/>
      </w:pPr>
      <w:r>
        <w:t xml:space="preserve">5. Impact Assessment</w:t>
      </w:r>
    </w:p>
    <w:p>
      <w:pPr>
        <w:pStyle w:val="FirstParagraph"/>
      </w:pPr>
      <w:r>
        <w:t xml:space="preserve">The adoption of these strategies has yielded measurable results for banks operating in Turkey Istanbul. Institutions that have successfully transitioned their bankers from transaction processors to trusted advisors have reported higher customer satisfaction scores and increased cross-selling opportunities. The integration of digital tools has reduced operational costs by approximately 15% over the past three years.</w:t>
      </w:r>
    </w:p>
    <w:p>
      <w:pPr>
        <w:pStyle w:val="BodyText"/>
      </w:pPr>
      <w:r>
        <w:t xml:space="preserve">Moreover, the emphasis on advisory services has helped stabilize deposit bases. By offering transparent explanations of inflation hedging strategies, bankers have regained a degree of trust among clients who were previously hesitant to keep funds in traditional accounts due to currency devaluation fears.</w:t>
      </w:r>
    </w:p>
    <w:bookmarkEnd w:id="27"/>
    <w:bookmarkStart w:id="28" w:name="future-outlook-for-the-banker"/>
    <w:p>
      <w:pPr>
        <w:pStyle w:val="Heading2"/>
      </w:pPr>
      <w:r>
        <w:t xml:space="preserve">6. Future Outlook for the Banker</w:t>
      </w:r>
    </w:p>
    <w:p>
      <w:pPr>
        <w:pStyle w:val="FirstParagraph"/>
      </w:pPr>
      <w:r>
        <w:t xml:space="preserve">Looking ahead, the banker in Turkey Istanbul will need to further embrace open banking frameworks. As APIs allow third-party developers to build applications around financial institutions, bankers must curate these ecosystems to provide value-added services. Additionally, sustainability financing is emerging as a key growth area. Green bonds and ESG-compliant loans are gaining traction among international investors operating in the region.</w:t>
      </w:r>
    </w:p>
    <w:p>
      <w:pPr>
        <w:pStyle w:val="BodyText"/>
      </w:pPr>
      <w:r>
        <w:t xml:space="preserve">The banker of the future in this region will likely be a hybrid professional: part financial analyst, part data scientist, and part relationship manager. Continuous education and adaptability will be paramount as the economic landscape continues to evolve.</w:t>
      </w:r>
    </w:p>
    <w:bookmarkEnd w:id="28"/>
    <w:bookmarkStart w:id="29" w:name="conclusion"/>
    <w:p>
      <w:pPr>
        <w:pStyle w:val="Heading2"/>
      </w:pPr>
      <w:r>
        <w:t xml:space="preserve">7. Conclusion</w:t>
      </w:r>
    </w:p>
    <w:p>
      <w:pPr>
        <w:pStyle w:val="FirstParagraph"/>
      </w:pPr>
      <w:r>
        <w:t xml:space="preserve">The case study of the banker in Turkey Istanbul illustrates that success in this market is not defined by adherence to tradition alone, but by the ability to adapt rapidly to change. The combination of economic volatility and digital innovation has reshaped the banking profession. Bankers who leverage data analytics, adhere strictly to regulatory frameworks, and provide proactive financial advice are well-positioned for long-term success. As Turkey Istanbul continues to grow as a global business hub, the banker remains a pivotal figure in driving financial stability and growth for individuals, businesses, and the broader economy.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Turkey Istanbul</dc:title>
  <dc:creator/>
  <dc:language>en</dc:language>
  <cp:keywords/>
  <dcterms:created xsi:type="dcterms:W3CDTF">2026-07-29T15:44:18Z</dcterms:created>
  <dcterms:modified xsi:type="dcterms:W3CDTF">2026-07-29T15:44:18Z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