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Modern</w:t>
      </w:r>
      <w:r>
        <w:t xml:space="preserve"> </w:t>
      </w:r>
      <w:r>
        <w:t xml:space="preserve">Banker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31" w:name="X2e28696ba2e2ec9c2c8e5faeb128b4e7bbd9ff6"/>
    <w:p>
      <w:pPr>
        <w:pStyle w:val="Heading1"/>
      </w:pPr>
      <w:r>
        <w:t xml:space="preserve">The Transformative Role of the Banker in the Dynamic Financial Landscape of United Arab Emirates Dubai</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Final Draft</w:t>
      </w:r>
      <w:r>
        <w:br/>
      </w:r>
      <w:r>
        <w:rPr>
          <w:bCs/>
          <w:b/>
        </w:rPr>
        <w:t xml:space="preserve">Subject:</w:t>
      </w:r>
      <w:r>
        <w:t xml:space="preserve"> </w:t>
      </w:r>
      <w:r>
        <w:t xml:space="preserve">Strategic Analysis of Banking Operations, Regulatory Compliance, and Customer Experience in United Arab Emirates Dubai</w:t>
      </w:r>
    </w:p>
    <w:bookmarkStart w:id="20" w:name="executive-summary"/>
    <w:p>
      <w:pPr>
        <w:pStyle w:val="Heading2"/>
      </w:pPr>
      <w:r>
        <w:t xml:space="preserve">1. Executive Summary</w:t>
      </w:r>
    </w:p>
    <w:p>
      <w:pPr>
        <w:pStyle w:val="FirstParagraph"/>
      </w:pPr>
      <w:r>
        <w:t xml:space="preserve">The financial sector of the United Arab Emirates Dubai stands as a testament to rapid economic diversification and global integration. At the heart of this transformation is the professional figure known as the Banker. This Case Study explores how the traditional definition of a Banker has evolved within United Arab Emirates Dubai, shifting from mere transaction processing to becoming strategic advisors, compliance guardians, and digital innovators. The document analyzes the specific challenges faced by institutions in United Arab Emirates Dubai and details how modern Banking practices are adapting to meet these demands while adhering to stringent regulatory frameworks.</w:t>
      </w:r>
    </w:p>
    <w:bookmarkEnd w:id="20"/>
    <w:bookmarkStart w:id="21" w:name="Xb5c7a415ac47f68a4af164b7f07b280f6feaa10"/>
    <w:p>
      <w:pPr>
        <w:pStyle w:val="Heading2"/>
      </w:pPr>
      <w:r>
        <w:t xml:space="preserve">2. Contextual Background: The Financial Hub of United Arab Emirates Dubai</w:t>
      </w:r>
    </w:p>
    <w:p>
      <w:pPr>
        <w:pStyle w:val="FirstParagraph"/>
      </w:pPr>
      <w:r>
        <w:rPr>
          <w:bCs/>
          <w:b/>
        </w:rPr>
        <w:t xml:space="preserve">United Arab Emirates Dubai</w:t>
      </w:r>
      <w:r>
        <w:t xml:space="preserve"> </w:t>
      </w:r>
      <w:r>
        <w:t xml:space="preserve">is not merely a geographical location; it is a global financial ecosystem that rivals London, New York, and Singapore in terms of transaction volume and complexity. The city’s government has aggressively pursued policies to attract foreign direct investment, foster technological innovation through initiatives like the Dubai International Financial Centre (DIFC), and promote sustainability through green finance.</w:t>
      </w:r>
    </w:p>
    <w:p>
      <w:pPr>
        <w:pStyle w:val="BodyText"/>
      </w:pPr>
      <w:r>
        <w:t xml:space="preserve">In this high-stakes environment, the role of the Banker is critical. Unlike traditional markets where banking products are standardized, United Arab Emirates Dubai offers a unique blend of Islamic Finance principles and conventional Western banking structures. Consequently, a Banker operating in this region must possess a dual competency: technical financial acumen and cultural-religious sensitivity.</w:t>
      </w:r>
    </w:p>
    <w:bookmarkEnd w:id="21"/>
    <w:bookmarkStart w:id="22" w:name="Xaf93da00a6c4cd53223dd248d6a32521a320e68"/>
    <w:p>
      <w:pPr>
        <w:pStyle w:val="Heading2"/>
      </w:pPr>
      <w:r>
        <w:t xml:space="preserve">3. The Evolving Profile of the Modern Banker</w:t>
      </w:r>
    </w:p>
    <w:p>
      <w:pPr>
        <w:pStyle w:val="FirstParagraph"/>
      </w:pPr>
      <w:r>
        <w:t xml:space="preserve">The Case Study identifies three distinct pillars that define the contemporary Banker in United Arab Emirates Dubai:</w:t>
      </w:r>
    </w:p>
    <w:p>
      <w:pPr>
        <w:numPr>
          <w:ilvl w:val="0"/>
          <w:numId w:val="1001"/>
        </w:numPr>
        <w:pStyle w:val="Compact"/>
      </w:pPr>
      <w:r>
        <w:rPr>
          <w:bCs/>
          <w:b/>
        </w:rPr>
        <w:t xml:space="preserve">The Strategic Advisor:</w:t>
      </w:r>
    </w:p>
    <w:p>
      <w:pPr>
        <w:numPr>
          <w:ilvl w:val="0"/>
          <w:numId w:val="1001"/>
        </w:numPr>
        <w:pStyle w:val="Compact"/>
      </w:pPr>
      <w:r>
        <w:rPr>
          <w:bCs/>
          <w:b/>
        </w:rPr>
        <w:t xml:space="preserve">The Compliance Guardian:</w:t>
      </w:r>
    </w:p>
    <w:p>
      <w:pPr>
        <w:numPr>
          <w:ilvl w:val="0"/>
          <w:numId w:val="1001"/>
        </w:numPr>
        <w:pStyle w:val="Compact"/>
      </w:pPr>
      <w:r>
        <w:rPr>
          <w:bCs/>
          <w:b/>
        </w:rPr>
        <w:t xml:space="preserve">The Digital Bridge:</w:t>
      </w:r>
    </w:p>
    <w:p>
      <w:pPr>
        <w:pStyle w:val="FirstParagraph"/>
      </w:pPr>
      <w:r>
        <w:rPr>
          <w:bCs/>
          <w:b/>
        </w:rPr>
        <w:t xml:space="preserve">Key Insight:</w:t>
      </w:r>
      <w:r>
        <w:t xml:space="preserve"> </w:t>
      </w:r>
      <w:r>
        <w:t xml:space="preserve">In United Arab Emirates Dubai, trust is the primary currency. A Banker’s ability to maintain confidentiality while ensuring regulatory transparency is what differentiates successful institutions from those that fail.</w:t>
      </w:r>
    </w:p>
    <w:bookmarkEnd w:id="22"/>
    <w:bookmarkStart w:id="25" w:name="X3451b3f963598b800ea9feda5ce444fbfd9a227"/>
    <w:p>
      <w:pPr>
        <w:pStyle w:val="Heading2"/>
      </w:pPr>
      <w:r>
        <w:t xml:space="preserve">4. Case Analysis: Challenges in Islamic and Conventional Banking</w:t>
      </w:r>
    </w:p>
    <w:p>
      <w:pPr>
        <w:pStyle w:val="FirstParagraph"/>
      </w:pPr>
      <w:r>
        <w:t xml:space="preserve">A unique aspect of banking in United Arab Emirates Dubai is the coexistence of Sharia-compliant (Islamic) finance and conventional interest-based finance. This duality presents specific challenges for the Banker.</w:t>
      </w:r>
    </w:p>
    <w:bookmarkStart w:id="23" w:name="navigating-sharia-compliance"/>
    <w:p>
      <w:pPr>
        <w:pStyle w:val="Heading3"/>
      </w:pPr>
      <w:r>
        <w:t xml:space="preserve">4.1 Navigating Sharia Compliance</w:t>
      </w:r>
    </w:p>
    <w:p>
      <w:pPr>
        <w:pStyle w:val="FirstParagraph"/>
      </w:pPr>
      <w:r>
        <w:t xml:space="preserve">In Islamic banking, money is considered a medium of exchange, not a commodity that can be rented out for profit (interest). Therefore, the Banker must structure products using mechanisms such as *Murabaha* (cost-plus financing), *Ijara* (leasing), and *Sukuk* (Islamic bonds). The Case Study highlights that Bankers in United Arab Emirates Dubai must undergo specialized training to understand these instruments deeply. A misstep in structuring a contract can lead to severe reputational damage and regulatory penalties.</w:t>
      </w:r>
    </w:p>
    <w:bookmarkEnd w:id="23"/>
    <w:bookmarkStart w:id="24" w:name="cross-border-complexity"/>
    <w:p>
      <w:pPr>
        <w:pStyle w:val="Heading3"/>
      </w:pPr>
      <w:r>
        <w:t xml:space="preserve">4.2 Cross-Border Complexity</w:t>
      </w:r>
    </w:p>
    <w:p>
      <w:pPr>
        <w:pStyle w:val="FirstParagraph"/>
      </w:pPr>
      <w:r>
        <w:t xml:space="preserve">Dubai serves as a gateway between East and West. The Banker frequently handles complex cross-border transactions involving jurisdictions with varying legal systems. Understanding the interplay between Common Law (often used in DIFC courts) and Civil Law (used in mainland Dubai courts) is essential for risk assessment.</w:t>
      </w:r>
    </w:p>
    <w:bookmarkEnd w:id="24"/>
    <w:bookmarkEnd w:id="25"/>
    <w:bookmarkStart w:id="26" w:name="X2c6112ed941d66fb33881e3dfe2abfac38b39f1"/>
    <w:p>
      <w:pPr>
        <w:pStyle w:val="Heading2"/>
      </w:pPr>
      <w:r>
        <w:t xml:space="preserve">5. Technology Adoption and Fintech Integration</w:t>
      </w:r>
    </w:p>
    <w:p>
      <w:pPr>
        <w:pStyle w:val="FirstParagraph"/>
      </w:pPr>
      <w:r>
        <w:t xml:space="preserve">The United Arab Emirates Dubai government has launched the "Dubai Paperless Strategy," aiming to eliminate paper-based transactions across all government entities, including banking. This initiative places immense pressure on Bankers to adopt digital-first approaches.</w:t>
      </w:r>
    </w:p>
    <w:p>
      <w:pPr>
        <w:numPr>
          <w:ilvl w:val="0"/>
          <w:numId w:val="1002"/>
        </w:numPr>
        <w:pStyle w:val="Compact"/>
      </w:pPr>
      <w:r>
        <w:rPr>
          <w:bCs/>
          <w:b/>
        </w:rPr>
        <w:t xml:space="preserve">Data Analytics:</w:t>
      </w:r>
      <w:r>
        <w:t xml:space="preserve"> </w:t>
      </w:r>
      <w:r>
        <w:t xml:space="preserve">Bankers are increasingly using big data to predict customer behavior. In United Arab Emirates Dubai, where consumer spending is high and diverse, predictive analytics help in offering personalized financial products.</w:t>
      </w:r>
    </w:p>
    <w:p>
      <w:pPr>
        <w:numPr>
          <w:ilvl w:val="0"/>
          <w:numId w:val="1002"/>
        </w:numPr>
        <w:pStyle w:val="Compact"/>
      </w:pPr>
      <w:r>
        <w:rPr>
          <w:bCs/>
          <w:b/>
        </w:rPr>
        <w:t xml:space="preserve">Cybersecurity:</w:t>
      </w:r>
      <w:r>
        <w:t xml:space="preserve"> </w:t>
      </w:r>
      <w:r>
        <w:t xml:space="preserve">As transactions move online, the Banker’s role in cybersecurity awareness grows. They must educate clients on phishing attempts and secure their own interactions through multi-factor authentication.</w:t>
      </w:r>
    </w:p>
    <w:p>
      <w:pPr>
        <w:numPr>
          <w:ilvl w:val="0"/>
          <w:numId w:val="1002"/>
        </w:numPr>
        <w:pStyle w:val="Compact"/>
      </w:pPr>
      <w:r>
        <w:rPr>
          <w:bCs/>
          <w:b/>
        </w:rPr>
        <w:t xml:space="preserve">Blockchain Applications:</w:t>
      </w:r>
      <w:r>
        <w:t xml:space="preserve"> </w:t>
      </w:r>
      <w:r>
        <w:t xml:space="preserve">Several banks in United Arab Emirates Dubai are piloting blockchain for trade finance to reduce settlement times. The Banker acts as the project manager for these integrations, coordinating with fintech startups and regulatory bodies.</w:t>
      </w:r>
    </w:p>
    <w:bookmarkEnd w:id="26"/>
    <w:bookmarkStart w:id="27" w:name="Xd418c2f967c1d5918d0f37916f9af3a1f708e94"/>
    <w:p>
      <w:pPr>
        <w:pStyle w:val="Heading2"/>
      </w:pPr>
      <w:r>
        <w:t xml:space="preserve">6. Regulatory Landscape and Compliance Challenges</w:t>
      </w:r>
    </w:p>
    <w:p>
      <w:pPr>
        <w:pStyle w:val="FirstParagraph"/>
      </w:pPr>
      <w:r>
        <w:t xml:space="preserve">The Central Bank of the United Arab Emirates has been proactive in updating regulations to keep pace with global standards. For the Banker, this means a continuous learning curve.</w:t>
      </w:r>
    </w:p>
    <w:p>
      <w:pPr>
        <w:pStyle w:val="BodyText"/>
      </w:pPr>
      <w:r>
        <w:rPr>
          <w:bCs/>
          <w:b/>
        </w:rPr>
        <w:t xml:space="preserve">Aml/CFT Regulations:</w:t>
      </w:r>
    </w:p>
    <w:p>
      <w:pPr>
        <w:numPr>
          <w:ilvl w:val="0"/>
          <w:numId w:val="1003"/>
        </w:numPr>
        <w:pStyle w:val="Compact"/>
      </w:pPr>
      <w:r>
        <w:t xml:space="preserve">Mandatory Customer Due Diligence (CDD) for all new accounts.</w:t>
      </w:r>
    </w:p>
    <w:p>
      <w:pPr>
        <w:numPr>
          <w:ilvl w:val="0"/>
          <w:numId w:val="1003"/>
        </w:numPr>
        <w:pStyle w:val="Compact"/>
      </w:pPr>
      <w:r>
        <w:t xml:space="preserve">Ongoing monitoring of suspicious transactions.</w:t>
      </w:r>
    </w:p>
    <w:p>
      <w:pPr>
        <w:numPr>
          <w:ilvl w:val="0"/>
          <w:numId w:val="1003"/>
        </w:numPr>
        <w:pStyle w:val="Compact"/>
      </w:pPr>
      <w:r>
        <w:t xml:space="preserve">Reporting to the Financial Intelligence Unit (FIU) in cases of suspected illicit activity.</w:t>
      </w:r>
    </w:p>
    <w:p>
      <w:pPr>
        <w:pStyle w:val="FirstParagraph"/>
      </w:pPr>
      <w:r>
        <w:rPr>
          <w:bCs/>
          <w:b/>
        </w:rPr>
        <w:t xml:space="preserve">Data Privacy:</w:t>
      </w:r>
    </w:p>
    <w:p>
      <w:pPr>
        <w:pStyle w:val="BodyText"/>
      </w:pPr>
      <w:r>
        <w:t xml:space="preserve">With the implementation of data protection laws similar to GDPR, Bankers must ensure that client data is stored securely and processed lawfully. In United Arab Emirates Dubai, where expatriates make up a significant portion of the population, respecting diverse privacy expectations is crucial.</w:t>
      </w:r>
    </w:p>
    <w:bookmarkEnd w:id="27"/>
    <w:bookmarkStart w:id="28" w:name="X749299e0ef97f311b6a187760a48b4f36b79940"/>
    <w:p>
      <w:pPr>
        <w:pStyle w:val="Heading2"/>
      </w:pPr>
      <w:r>
        <w:t xml:space="preserve">7. Customer Experience and Cultural Sensitivity</w:t>
      </w:r>
    </w:p>
    <w:p>
      <w:pPr>
        <w:pStyle w:val="FirstParagraph"/>
      </w:pPr>
      <w:r>
        <w:t xml:space="preserve">In United Arab Emirates Dubai, customer service is not just about efficiency; it is about respect and cultural intelligence. Bankers must navigate a multicultural environment comprising locals from the Gulf region, expatriates from Europe, Asia, Africa, and other parts of the Arab world.</w:t>
      </w:r>
    </w:p>
    <w:p>
      <w:pPr>
        <w:numPr>
          <w:ilvl w:val="0"/>
          <w:numId w:val="1004"/>
        </w:numPr>
        <w:pStyle w:val="Compact"/>
      </w:pPr>
      <w:r>
        <w:rPr>
          <w:bCs/>
          <w:b/>
        </w:rPr>
        <w:t xml:space="preserve">Multilingual Support:</w:t>
      </w:r>
      <w:r>
        <w:t xml:space="preserve"> </w:t>
      </w:r>
      <w:r>
        <w:t xml:space="preserve">Proficiency in English is mandatory, but Arabic is often preferred for local interactions. Additional languages such as Hindi, Urdu, Tagalog, and Mandarin are highly valued assets for Bankers serving Dubai’s diverse demographic.</w:t>
      </w:r>
    </w:p>
    <w:p>
      <w:pPr>
        <w:numPr>
          <w:ilvl w:val="0"/>
          <w:numId w:val="1004"/>
        </w:numPr>
        <w:pStyle w:val="Compact"/>
      </w:pPr>
      <w:r>
        <w:rPr>
          <w:bCs/>
          <w:b/>
        </w:rPr>
        <w:t xml:space="preserve">Cultural Etiquette:</w:t>
      </w:r>
      <w:r>
        <w:t xml:space="preserve"> </w:t>
      </w:r>
      <w:r>
        <w:t xml:space="preserve">Understanding religious holidays (such as Ramadan), prayer times during business hours, and gender-specific interaction norms is vital for maintaining strong client relationships.</w:t>
      </w:r>
    </w:p>
    <w:bookmarkEnd w:id="28"/>
    <w:bookmarkStart w:id="29" w:name="Xee3eb4c870012e11c97cb33185d225db0cbab23"/>
    <w:p>
      <w:pPr>
        <w:pStyle w:val="Heading2"/>
      </w:pPr>
      <w:r>
        <w:t xml:space="preserve">8. Future Outlook: The Banker in the Next Decade</w:t>
      </w:r>
    </w:p>
    <w:p>
      <w:pPr>
        <w:pStyle w:val="FirstParagraph"/>
      </w:pPr>
      <w:r>
        <w:t xml:space="preserve">The future of banking in United Arab Emirates Dubai is shaped by the vision of Dubai Economic Agenda D33, which aims to double the size of the emirate’s economy by 2033.</w:t>
      </w:r>
    </w:p>
    <w:p>
      <w:pPr>
        <w:numPr>
          <w:ilvl w:val="0"/>
          <w:numId w:val="1005"/>
        </w:numPr>
        <w:pStyle w:val="Compact"/>
      </w:pPr>
      <w:r>
        <w:rPr>
          <w:bCs/>
          <w:b/>
        </w:rPr>
        <w:t xml:space="preserve">Sustainable Finance:</w:t>
      </w:r>
    </w:p>
    <w:p>
      <w:pPr>
        <w:numPr>
          <w:ilvl w:val="0"/>
          <w:numId w:val="1005"/>
        </w:numPr>
      </w:pPr>
      <w:r>
        <w:rPr>
          <w:bCs/>
          <w:b/>
        </w:rPr>
        <w:t xml:space="preserve">Central Bank Digital Currency (CBDC):</w:t>
      </w:r>
    </w:p>
    <w:p>
      <w:pPr>
        <w:numPr>
          <w:ilvl w:val="0"/>
          <w:numId w:val="1000"/>
        </w:numPr>
      </w:pPr>
      <w:r>
        <w:t xml:space="preserve">The United Arab Emirates is exploring digital currencies. Bankers must prepare for a future where central bank money is digitized, altering how liquidity is managed.</w:t>
      </w:r>
    </w:p>
    <w:p>
      <w:pPr>
        <w:numPr>
          <w:ilvl w:val="0"/>
          <w:numId w:val="1005"/>
        </w:numPr>
      </w:pPr>
      <w:r>
        <w:rPr>
          <w:bCs/>
          <w:b/>
        </w:rPr>
        <w:t xml:space="preserve">AI and Automation:</w:t>
      </w:r>
    </w:p>
    <w:p>
      <w:pPr>
        <w:numPr>
          <w:ilvl w:val="0"/>
          <w:numId w:val="1000"/>
        </w:numPr>
      </w:pPr>
      <w:r>
        <w:t xml:space="preserve">Routine tasks will be automated by AI, allowing Bankers to focus on high-value advisory services. The human element of trust and empathy will remain irreplaceable in complex financial planning.</w:t>
      </w:r>
    </w:p>
    <w:bookmarkEnd w:id="29"/>
    <w:bookmarkStart w:id="30" w:name="conclusion"/>
    <w:p>
      <w:pPr>
        <w:pStyle w:val="Heading2"/>
      </w:pPr>
      <w:r>
        <w:t xml:space="preserve">9. Conclusion</w:t>
      </w:r>
    </w:p>
    <w:p>
      <w:pPr>
        <w:pStyle w:val="FirstParagraph"/>
      </w:pPr>
      <w:r>
        <w:t xml:space="preserve">This Case Study demonstrates that the role of the Banker in United Arab Emirates Dubai is far more complex and dynamic than traditional models suggest. Operating within one of the world’s most competitive and innovative financial hubs requires a professional who is technically proficient, culturally aware, and legally compliant.</w:t>
      </w:r>
    </w:p>
    <w:p>
      <w:pPr>
        <w:pStyle w:val="BodyText"/>
      </w:pPr>
      <w:r>
        <w:t xml:space="preserve">The success of banking institutions in United Arab Emirates Dubai depends heavily on their ability to empower Bankers with the right tools, training, and regulatory support. As the region moves towards a digitalized and sustainable future, the Banker will remain the cornerstone of financial stability and growth. They are not just custodians of capital but architects of economic development in this vibrant global city.</w:t>
      </w:r>
    </w:p>
    <w:p>
      <w:pPr>
        <w:pStyle w:val="BodyText"/>
      </w:pPr>
      <w:r>
        <w:rPr>
          <w:iCs/>
          <w:i/>
        </w:rPr>
        <w:t xml:space="preserve">End of Document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Evolution of the Modern Banker in United Arab Emirates Dubai</dc:title>
  <dc:creator/>
  <dc:language>en</dc:language>
  <cp:keywords/>
  <dcterms:created xsi:type="dcterms:W3CDTF">2026-07-29T16:57:13Z</dcterms:created>
  <dcterms:modified xsi:type="dcterms:W3CDTF">2026-07-29T16:57:13Z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